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BE8" w:rsidRPr="00CE1463" w:rsidRDefault="00342BE8" w:rsidP="00342BE8">
      <w:pPr>
        <w:bidi/>
        <w:spacing w:line="360" w:lineRule="auto"/>
        <w:jc w:val="both"/>
        <w:rPr>
          <w:rFonts w:asciiTheme="majorBidi" w:hAnsiTheme="majorBidi" w:cstheme="majorBidi"/>
          <w:b/>
          <w:bCs/>
          <w:sz w:val="36"/>
          <w:szCs w:val="36"/>
          <w:lang w:bidi="ar-DZ"/>
        </w:rPr>
      </w:pPr>
      <w:r w:rsidRPr="00CE1463">
        <w:rPr>
          <w:rFonts w:asciiTheme="majorBidi" w:hAnsiTheme="majorBidi" w:cstheme="majorBidi" w:hint="cs"/>
          <w:b/>
          <w:bCs/>
          <w:sz w:val="36"/>
          <w:szCs w:val="36"/>
          <w:rtl/>
          <w:lang w:bidi="ar-DZ"/>
        </w:rPr>
        <w:t>الخلاصة العامة:</w:t>
      </w:r>
    </w:p>
    <w:p w:rsidR="00342BE8" w:rsidRPr="009B181A" w:rsidRDefault="00342BE8" w:rsidP="00342BE8">
      <w:pPr>
        <w:bidi/>
        <w:spacing w:after="0" w:line="360" w:lineRule="auto"/>
        <w:jc w:val="both"/>
        <w:rPr>
          <w:rFonts w:asciiTheme="majorBidi" w:eastAsia="Times New Roman" w:hAnsiTheme="majorBidi" w:cstheme="majorBidi"/>
          <w:color w:val="000000"/>
          <w:sz w:val="32"/>
          <w:szCs w:val="32"/>
          <w:lang w:eastAsia="fr-FR"/>
        </w:rPr>
      </w:pPr>
      <w:r w:rsidRPr="00E12A0A">
        <w:rPr>
          <w:rFonts w:asciiTheme="majorBidi" w:eastAsia="Times New Roman" w:hAnsiTheme="majorBidi" w:cstheme="majorBidi"/>
          <w:color w:val="000000"/>
          <w:sz w:val="32"/>
          <w:szCs w:val="32"/>
          <w:rtl/>
          <w:lang w:eastAsia="fr-FR"/>
        </w:rPr>
        <w:t xml:space="preserve">أمام النمو المفرط الذي تعرفه المدن </w:t>
      </w:r>
      <w:r>
        <w:rPr>
          <w:rFonts w:asciiTheme="majorBidi" w:eastAsia="Times New Roman" w:hAnsiTheme="majorBidi" w:cstheme="majorBidi" w:hint="cs"/>
          <w:color w:val="000000"/>
          <w:sz w:val="32"/>
          <w:szCs w:val="32"/>
          <w:rtl/>
          <w:lang w:eastAsia="fr-FR"/>
        </w:rPr>
        <w:t xml:space="preserve">الجزائرية الكبرى ومن بينها مدينة قسنطينة </w:t>
      </w:r>
      <w:r w:rsidRPr="00E12A0A">
        <w:rPr>
          <w:rFonts w:asciiTheme="majorBidi" w:eastAsia="Times New Roman" w:hAnsiTheme="majorBidi" w:cstheme="majorBidi" w:hint="cs"/>
          <w:color w:val="000000"/>
          <w:sz w:val="32"/>
          <w:szCs w:val="32"/>
          <w:rtl/>
          <w:lang w:eastAsia="fr-FR"/>
        </w:rPr>
        <w:t>والضغط</w:t>
      </w:r>
      <w:r w:rsidRPr="00E12A0A">
        <w:rPr>
          <w:rFonts w:asciiTheme="majorBidi" w:eastAsia="Times New Roman" w:hAnsiTheme="majorBidi" w:cstheme="majorBidi"/>
          <w:color w:val="000000"/>
          <w:sz w:val="32"/>
          <w:szCs w:val="32"/>
          <w:rtl/>
          <w:lang w:eastAsia="fr-FR"/>
        </w:rPr>
        <w:t xml:space="preserve"> المتزايد على البنيات التحتية الأساسية والحاجة إلى المرافق العمومية وغيرها، </w:t>
      </w:r>
      <w:r>
        <w:rPr>
          <w:rFonts w:asciiTheme="majorBidi" w:eastAsia="Times New Roman" w:hAnsiTheme="majorBidi" w:cstheme="majorBidi" w:hint="cs"/>
          <w:color w:val="000000"/>
          <w:sz w:val="32"/>
          <w:szCs w:val="32"/>
          <w:rtl/>
          <w:lang w:eastAsia="fr-FR"/>
        </w:rPr>
        <w:t xml:space="preserve">كانت الحاجة ملحة في كل مرة إلى البحث </w:t>
      </w:r>
      <w:r w:rsidRPr="00E12A0A">
        <w:rPr>
          <w:rFonts w:asciiTheme="majorBidi" w:eastAsia="Times New Roman" w:hAnsiTheme="majorBidi" w:cstheme="majorBidi"/>
          <w:color w:val="000000"/>
          <w:sz w:val="32"/>
          <w:szCs w:val="32"/>
          <w:rtl/>
          <w:lang w:eastAsia="fr-FR"/>
        </w:rPr>
        <w:t>عن آليات وميكانزمات من شأنها أن تساعد على التحكم في إنتاج مجال</w:t>
      </w:r>
      <w:r>
        <w:rPr>
          <w:rFonts w:asciiTheme="majorBidi" w:eastAsia="Times New Roman" w:hAnsiTheme="majorBidi" w:cstheme="majorBidi" w:hint="cs"/>
          <w:color w:val="000000"/>
          <w:sz w:val="32"/>
          <w:szCs w:val="32"/>
          <w:rtl/>
          <w:lang w:eastAsia="fr-FR"/>
        </w:rPr>
        <w:t xml:space="preserve"> عمراني متوازن يستجي</w:t>
      </w:r>
      <w:r>
        <w:rPr>
          <w:rFonts w:asciiTheme="majorBidi" w:eastAsia="Times New Roman" w:hAnsiTheme="majorBidi" w:cstheme="majorBidi" w:hint="eastAsia"/>
          <w:color w:val="000000"/>
          <w:sz w:val="32"/>
          <w:szCs w:val="32"/>
          <w:rtl/>
          <w:lang w:eastAsia="fr-FR"/>
        </w:rPr>
        <w:t>ب</w:t>
      </w:r>
      <w:r>
        <w:rPr>
          <w:rFonts w:asciiTheme="majorBidi" w:eastAsia="Times New Roman" w:hAnsiTheme="majorBidi" w:cstheme="majorBidi" w:hint="cs"/>
          <w:color w:val="000000"/>
          <w:sz w:val="32"/>
          <w:szCs w:val="32"/>
          <w:rtl/>
          <w:lang w:eastAsia="fr-FR"/>
        </w:rPr>
        <w:t xml:space="preserve"> لكل متطلبات المجتمع.</w:t>
      </w:r>
    </w:p>
    <w:p w:rsidR="00342BE8" w:rsidRPr="00EB30BF" w:rsidRDefault="00342BE8" w:rsidP="00342BE8">
      <w:pPr>
        <w:bidi/>
        <w:spacing w:after="0" w:line="360" w:lineRule="auto"/>
        <w:jc w:val="both"/>
        <w:rPr>
          <w:rFonts w:ascii="Times New Roman" w:eastAsia="Times New Roman" w:hAnsi="Times New Roman" w:cs="Times New Roman"/>
          <w:sz w:val="32"/>
          <w:szCs w:val="32"/>
          <w:rtl/>
          <w:lang w:eastAsia="x-none"/>
        </w:rPr>
      </w:pPr>
      <w:r w:rsidRPr="00546183">
        <w:rPr>
          <w:rFonts w:asciiTheme="majorBidi" w:eastAsia="Times New Roman" w:hAnsiTheme="majorBidi" w:cstheme="majorBidi" w:hint="cs"/>
          <w:sz w:val="32"/>
          <w:szCs w:val="32"/>
          <w:rtl/>
          <w:lang w:eastAsia="fr-FR"/>
        </w:rPr>
        <w:t>ولكون التشريعات</w:t>
      </w:r>
      <w:r w:rsidRPr="00546183">
        <w:rPr>
          <w:rFonts w:asciiTheme="majorBidi" w:eastAsia="Times New Roman" w:hAnsiTheme="majorBidi" w:cstheme="majorBidi"/>
          <w:sz w:val="32"/>
          <w:szCs w:val="32"/>
          <w:rtl/>
          <w:lang w:eastAsia="fr-FR"/>
        </w:rPr>
        <w:t xml:space="preserve"> </w:t>
      </w:r>
      <w:r w:rsidRPr="00546183">
        <w:rPr>
          <w:rFonts w:asciiTheme="majorBidi" w:eastAsia="Times New Roman" w:hAnsiTheme="majorBidi" w:cstheme="majorBidi" w:hint="cs"/>
          <w:sz w:val="32"/>
          <w:szCs w:val="32"/>
          <w:rtl/>
          <w:lang w:eastAsia="fr-FR"/>
        </w:rPr>
        <w:t xml:space="preserve">المتوارثة </w:t>
      </w:r>
      <w:r>
        <w:rPr>
          <w:rFonts w:asciiTheme="majorBidi" w:eastAsia="Times New Roman" w:hAnsiTheme="majorBidi" w:cstheme="majorBidi" w:hint="cs"/>
          <w:sz w:val="32"/>
          <w:szCs w:val="32"/>
          <w:rtl/>
          <w:lang w:eastAsia="fr-FR"/>
        </w:rPr>
        <w:t xml:space="preserve">بعد الاستقلال </w:t>
      </w:r>
      <w:r w:rsidRPr="00546183">
        <w:rPr>
          <w:rFonts w:asciiTheme="majorBidi" w:eastAsia="Times New Roman" w:hAnsiTheme="majorBidi" w:cstheme="majorBidi"/>
          <w:sz w:val="32"/>
          <w:szCs w:val="32"/>
          <w:rtl/>
          <w:lang w:eastAsia="fr-FR"/>
        </w:rPr>
        <w:t xml:space="preserve">لم </w:t>
      </w:r>
      <w:r w:rsidRPr="00546183">
        <w:rPr>
          <w:rFonts w:asciiTheme="majorBidi" w:eastAsia="Times New Roman" w:hAnsiTheme="majorBidi" w:cstheme="majorBidi" w:hint="cs"/>
          <w:sz w:val="32"/>
          <w:szCs w:val="32"/>
          <w:rtl/>
          <w:lang w:eastAsia="fr-FR"/>
        </w:rPr>
        <w:t>تستطع -</w:t>
      </w:r>
      <w:r w:rsidRPr="00546183">
        <w:rPr>
          <w:rFonts w:asciiTheme="majorBidi" w:eastAsia="Times New Roman" w:hAnsiTheme="majorBidi" w:cstheme="majorBidi"/>
          <w:sz w:val="32"/>
          <w:szCs w:val="32"/>
          <w:rtl/>
          <w:lang w:eastAsia="fr-FR"/>
        </w:rPr>
        <w:t xml:space="preserve">إلى حد </w:t>
      </w:r>
      <w:r w:rsidRPr="00546183">
        <w:rPr>
          <w:rFonts w:asciiTheme="majorBidi" w:eastAsia="Times New Roman" w:hAnsiTheme="majorBidi" w:cstheme="majorBidi" w:hint="cs"/>
          <w:sz w:val="32"/>
          <w:szCs w:val="32"/>
          <w:rtl/>
          <w:lang w:eastAsia="fr-FR"/>
        </w:rPr>
        <w:t>ما-</w:t>
      </w:r>
      <w:r>
        <w:rPr>
          <w:rFonts w:asciiTheme="majorBidi" w:eastAsia="Times New Roman" w:hAnsiTheme="majorBidi" w:cstheme="majorBidi" w:hint="cs"/>
          <w:sz w:val="32"/>
          <w:szCs w:val="32"/>
          <w:rtl/>
          <w:lang w:eastAsia="fr-FR"/>
        </w:rPr>
        <w:t xml:space="preserve"> </w:t>
      </w:r>
      <w:r w:rsidRPr="00546183">
        <w:rPr>
          <w:rFonts w:asciiTheme="majorBidi" w:eastAsia="Times New Roman" w:hAnsiTheme="majorBidi" w:cstheme="majorBidi" w:hint="cs"/>
          <w:sz w:val="32"/>
          <w:szCs w:val="32"/>
          <w:rtl/>
          <w:lang w:eastAsia="fr-FR"/>
        </w:rPr>
        <w:t>إيجاد</w:t>
      </w:r>
      <w:r w:rsidRPr="00546183">
        <w:rPr>
          <w:rFonts w:asciiTheme="majorBidi" w:eastAsia="Times New Roman" w:hAnsiTheme="majorBidi" w:cstheme="majorBidi"/>
          <w:sz w:val="32"/>
          <w:szCs w:val="32"/>
          <w:rtl/>
          <w:lang w:eastAsia="fr-FR"/>
        </w:rPr>
        <w:t xml:space="preserve"> الحلول المناسبة للمشاكل الكبرى التي تعرفها </w:t>
      </w:r>
      <w:r w:rsidRPr="00546183">
        <w:rPr>
          <w:rFonts w:asciiTheme="majorBidi" w:eastAsia="Times New Roman" w:hAnsiTheme="majorBidi" w:cstheme="majorBidi" w:hint="cs"/>
          <w:sz w:val="32"/>
          <w:szCs w:val="32"/>
          <w:rtl/>
          <w:lang w:eastAsia="fr-FR"/>
        </w:rPr>
        <w:t>مدننا لا سيما قسنطينة</w:t>
      </w:r>
      <w:r w:rsidRPr="00546183">
        <w:rPr>
          <w:rFonts w:asciiTheme="majorBidi" w:eastAsia="Times New Roman" w:hAnsiTheme="majorBidi" w:cstheme="majorBidi"/>
          <w:sz w:val="32"/>
          <w:szCs w:val="32"/>
          <w:rtl/>
          <w:lang w:eastAsia="fr-FR"/>
        </w:rPr>
        <w:t>،</w:t>
      </w:r>
      <w:r w:rsidRPr="00546183">
        <w:rPr>
          <w:rFonts w:asciiTheme="majorBidi" w:eastAsia="Times New Roman" w:hAnsiTheme="majorBidi" w:cstheme="majorBidi" w:hint="cs"/>
          <w:sz w:val="32"/>
          <w:szCs w:val="32"/>
          <w:rtl/>
          <w:lang w:eastAsia="fr-FR"/>
        </w:rPr>
        <w:t xml:space="preserve"> نجد </w:t>
      </w:r>
      <w:r>
        <w:rPr>
          <w:rFonts w:asciiTheme="majorBidi" w:eastAsia="Times New Roman" w:hAnsiTheme="majorBidi" w:cstheme="majorBidi" w:hint="cs"/>
          <w:sz w:val="32"/>
          <w:szCs w:val="32"/>
          <w:rtl/>
          <w:lang w:eastAsia="fr-FR"/>
        </w:rPr>
        <w:t>أ</w:t>
      </w:r>
      <w:r w:rsidRPr="00546183">
        <w:rPr>
          <w:rFonts w:asciiTheme="majorBidi" w:eastAsia="Times New Roman" w:hAnsiTheme="majorBidi" w:cstheme="majorBidi" w:hint="cs"/>
          <w:sz w:val="32"/>
          <w:szCs w:val="32"/>
          <w:rtl/>
          <w:lang w:eastAsia="fr-FR"/>
        </w:rPr>
        <w:t>ن المشرع ي</w:t>
      </w:r>
      <w:r w:rsidRPr="00546183">
        <w:rPr>
          <w:rFonts w:asciiTheme="majorBidi" w:eastAsia="Times New Roman" w:hAnsiTheme="majorBidi" w:cstheme="majorBidi"/>
          <w:sz w:val="32"/>
          <w:szCs w:val="32"/>
          <w:rtl/>
          <w:lang w:eastAsia="fr-FR"/>
        </w:rPr>
        <w:t xml:space="preserve">حاول </w:t>
      </w:r>
      <w:r w:rsidRPr="00546183">
        <w:rPr>
          <w:rFonts w:asciiTheme="majorBidi" w:eastAsia="Times New Roman" w:hAnsiTheme="majorBidi" w:cstheme="majorBidi" w:hint="cs"/>
          <w:sz w:val="32"/>
          <w:szCs w:val="32"/>
          <w:rtl/>
          <w:lang w:eastAsia="fr-FR"/>
        </w:rPr>
        <w:t>في كل مرة إ</w:t>
      </w:r>
      <w:proofErr w:type="spellStart"/>
      <w:r w:rsidRPr="00546183">
        <w:rPr>
          <w:rFonts w:ascii="Times New Roman" w:hAnsi="Times New Roman"/>
          <w:szCs w:val="32"/>
          <w:rtl/>
          <w:lang w:bidi="ar-DZ"/>
        </w:rPr>
        <w:t>خض</w:t>
      </w:r>
      <w:r w:rsidRPr="00546183">
        <w:rPr>
          <w:rFonts w:ascii="Times New Roman" w:hAnsi="Times New Roman" w:hint="cs"/>
          <w:szCs w:val="32"/>
          <w:rtl/>
          <w:lang w:bidi="ar-DZ"/>
        </w:rPr>
        <w:t>ا</w:t>
      </w:r>
      <w:r w:rsidRPr="00546183">
        <w:rPr>
          <w:rFonts w:ascii="Times New Roman" w:hAnsi="Times New Roman"/>
          <w:szCs w:val="32"/>
          <w:rtl/>
          <w:lang w:bidi="ar-DZ"/>
        </w:rPr>
        <w:t>ع</w:t>
      </w:r>
      <w:proofErr w:type="spellEnd"/>
      <w:r w:rsidRPr="00546183">
        <w:rPr>
          <w:rFonts w:ascii="Times New Roman" w:hAnsi="Times New Roman" w:hint="cs"/>
          <w:szCs w:val="32"/>
          <w:rtl/>
          <w:lang w:bidi="ar-DZ"/>
        </w:rPr>
        <w:t xml:space="preserve"> </w:t>
      </w:r>
      <w:r w:rsidRPr="00546183">
        <w:rPr>
          <w:rFonts w:ascii="Times New Roman" w:hAnsi="Times New Roman"/>
          <w:szCs w:val="32"/>
          <w:rtl/>
          <w:lang w:bidi="ar-DZ"/>
        </w:rPr>
        <w:t xml:space="preserve">المنظومة العمرانية إلى مراجعات </w:t>
      </w:r>
      <w:r w:rsidRPr="00546183">
        <w:rPr>
          <w:rFonts w:asciiTheme="majorBidi" w:eastAsia="Times New Roman" w:hAnsiTheme="majorBidi" w:cstheme="majorBidi"/>
          <w:sz w:val="32"/>
          <w:szCs w:val="32"/>
          <w:rtl/>
          <w:lang w:eastAsia="fr-FR"/>
        </w:rPr>
        <w:t xml:space="preserve">توحي بالتوجهات التي يراها أصحاب القرار كفيلة بتجاوز </w:t>
      </w:r>
      <w:r w:rsidRPr="00546183">
        <w:rPr>
          <w:rFonts w:asciiTheme="majorBidi" w:eastAsia="Times New Roman" w:hAnsiTheme="majorBidi" w:cstheme="majorBidi" w:hint="cs"/>
          <w:sz w:val="32"/>
          <w:szCs w:val="32"/>
          <w:rtl/>
          <w:lang w:eastAsia="fr-FR"/>
        </w:rPr>
        <w:t>ا</w:t>
      </w:r>
      <w:r>
        <w:rPr>
          <w:rFonts w:asciiTheme="majorBidi" w:eastAsia="Times New Roman" w:hAnsiTheme="majorBidi" w:cstheme="majorBidi" w:hint="cs"/>
          <w:sz w:val="32"/>
          <w:szCs w:val="32"/>
          <w:rtl/>
          <w:lang w:eastAsia="fr-FR"/>
        </w:rPr>
        <w:t>لمشاكل</w:t>
      </w:r>
      <w:r w:rsidRPr="00546183">
        <w:rPr>
          <w:rFonts w:asciiTheme="majorBidi" w:eastAsia="Times New Roman" w:hAnsiTheme="majorBidi" w:cstheme="majorBidi"/>
          <w:sz w:val="32"/>
          <w:szCs w:val="32"/>
          <w:rtl/>
          <w:lang w:eastAsia="fr-FR"/>
        </w:rPr>
        <w:t xml:space="preserve"> </w:t>
      </w:r>
      <w:r w:rsidRPr="00546183">
        <w:rPr>
          <w:rFonts w:asciiTheme="majorBidi" w:eastAsia="Times New Roman" w:hAnsiTheme="majorBidi" w:cstheme="majorBidi" w:hint="cs"/>
          <w:sz w:val="32"/>
          <w:szCs w:val="32"/>
          <w:rtl/>
          <w:lang w:eastAsia="fr-FR"/>
        </w:rPr>
        <w:t>العمرانية</w:t>
      </w:r>
      <w:r>
        <w:rPr>
          <w:rFonts w:asciiTheme="majorBidi" w:eastAsia="Times New Roman" w:hAnsiTheme="majorBidi" w:cstheme="majorBidi" w:hint="cs"/>
          <w:sz w:val="32"/>
          <w:szCs w:val="32"/>
          <w:rtl/>
          <w:lang w:eastAsia="fr-FR"/>
        </w:rPr>
        <w:t xml:space="preserve"> إلى أن توصل </w:t>
      </w:r>
      <w:r>
        <w:rPr>
          <w:rFonts w:asciiTheme="majorBidi" w:eastAsia="Times New Roman" w:hAnsiTheme="majorBidi" w:cstheme="majorBidi"/>
          <w:sz w:val="32"/>
          <w:szCs w:val="32"/>
          <w:rtl/>
          <w:lang w:eastAsia="fr-FR"/>
        </w:rPr>
        <w:t>إلى</w:t>
      </w:r>
      <w:r>
        <w:rPr>
          <w:rFonts w:asciiTheme="majorBidi" w:eastAsia="Times New Roman" w:hAnsiTheme="majorBidi" w:cstheme="majorBidi" w:hint="cs"/>
          <w:sz w:val="32"/>
          <w:szCs w:val="32"/>
          <w:rtl/>
          <w:lang w:eastAsia="fr-FR"/>
        </w:rPr>
        <w:t xml:space="preserve"> القانون </w:t>
      </w:r>
      <w:r w:rsidRPr="00AF3D5B">
        <w:rPr>
          <w:rFonts w:ascii="Times New Roman" w:eastAsia="Times New Roman" w:hAnsi="Times New Roman" w:cs="Times New Roman"/>
          <w:sz w:val="28"/>
          <w:szCs w:val="28"/>
          <w:rtl/>
        </w:rPr>
        <w:t>90</w:t>
      </w:r>
      <w:r w:rsidRPr="00AF3D5B">
        <w:rPr>
          <w:rFonts w:ascii="Times New Roman" w:eastAsia="Times New Roman" w:hAnsi="Times New Roman" w:cs="Times New Roman"/>
          <w:sz w:val="32"/>
          <w:szCs w:val="32"/>
          <w:rtl/>
        </w:rPr>
        <w:t>-</w:t>
      </w:r>
      <w:r w:rsidRPr="00AF3D5B">
        <w:rPr>
          <w:rFonts w:ascii="Times New Roman" w:eastAsia="Times New Roman" w:hAnsi="Times New Roman" w:cs="Times New Roman"/>
          <w:sz w:val="28"/>
          <w:szCs w:val="28"/>
          <w:rtl/>
        </w:rPr>
        <w:t>29</w:t>
      </w:r>
      <w:r>
        <w:rPr>
          <w:rFonts w:ascii="Times New Roman" w:eastAsia="Times New Roman" w:hAnsi="Times New Roman" w:cs="Times New Roman" w:hint="cs"/>
          <w:sz w:val="28"/>
          <w:szCs w:val="28"/>
          <w:rtl/>
        </w:rPr>
        <w:t xml:space="preserve"> </w:t>
      </w:r>
      <w:r w:rsidRPr="0025058C">
        <w:rPr>
          <w:rFonts w:ascii="Times New Roman" w:eastAsia="Times New Roman" w:hAnsi="Times New Roman" w:cs="Times New Roman" w:hint="cs"/>
          <w:sz w:val="32"/>
          <w:szCs w:val="32"/>
          <w:rtl/>
        </w:rPr>
        <w:t xml:space="preserve">المتعلق بالتهيئة التعمير </w:t>
      </w:r>
      <w:r w:rsidRPr="00EB30BF">
        <w:rPr>
          <w:rFonts w:ascii="Times New Roman" w:eastAsia="Times New Roman" w:hAnsi="Times New Roman" w:cs="Times New Roman"/>
          <w:sz w:val="32"/>
          <w:szCs w:val="32"/>
          <w:rtl/>
          <w:lang w:eastAsia="x-none"/>
        </w:rPr>
        <w:t xml:space="preserve">المعدل والمتمم بالقانون </w:t>
      </w:r>
      <w:r w:rsidRPr="00EB30BF">
        <w:rPr>
          <w:rFonts w:ascii="Times New Roman" w:eastAsia="Times New Roman" w:hAnsi="Times New Roman" w:cs="Times New Roman"/>
          <w:sz w:val="28"/>
          <w:szCs w:val="28"/>
          <w:rtl/>
          <w:lang w:eastAsia="x-none"/>
        </w:rPr>
        <w:t>04-05</w:t>
      </w:r>
      <w:r w:rsidRPr="00EB30BF">
        <w:rPr>
          <w:rFonts w:ascii="Times New Roman" w:eastAsia="Times New Roman" w:hAnsi="Times New Roman" w:cs="Times New Roman"/>
          <w:sz w:val="32"/>
          <w:szCs w:val="32"/>
          <w:rtl/>
          <w:lang w:eastAsia="x-none"/>
        </w:rPr>
        <w:t xml:space="preserve"> والمراسيم التنفيذية </w:t>
      </w:r>
      <w:r w:rsidRPr="00AF3D5B">
        <w:rPr>
          <w:rFonts w:ascii="Times New Roman" w:eastAsia="Times New Roman" w:hAnsi="Times New Roman" w:cs="Times New Roman"/>
          <w:sz w:val="32"/>
          <w:szCs w:val="32"/>
          <w:rtl/>
        </w:rPr>
        <w:t xml:space="preserve">التي </w:t>
      </w:r>
      <w:r w:rsidRPr="00AF3D5B">
        <w:rPr>
          <w:rFonts w:ascii="Times New Roman" w:eastAsia="Times New Roman" w:hAnsi="Times New Roman" w:cs="Times New Roman" w:hint="cs"/>
          <w:sz w:val="32"/>
          <w:szCs w:val="32"/>
          <w:rtl/>
        </w:rPr>
        <w:t>تتبعه</w:t>
      </w:r>
      <w:r>
        <w:rPr>
          <w:rFonts w:ascii="Times New Roman" w:eastAsia="Times New Roman" w:hAnsi="Times New Roman" w:cs="Times New Roman" w:hint="cs"/>
          <w:sz w:val="32"/>
          <w:szCs w:val="32"/>
          <w:rtl/>
        </w:rPr>
        <w:t xml:space="preserve"> و</w:t>
      </w:r>
      <w:r>
        <w:rPr>
          <w:rFonts w:ascii="Times New Roman" w:eastAsia="Times New Roman" w:hAnsi="Times New Roman" w:cs="Times New Roman" w:hint="cs"/>
          <w:sz w:val="32"/>
          <w:szCs w:val="32"/>
          <w:rtl/>
          <w:lang w:bidi="ar-DZ"/>
        </w:rPr>
        <w:t>الذي</w:t>
      </w:r>
      <w:r w:rsidRPr="00EB30BF">
        <w:rPr>
          <w:rFonts w:ascii="Times New Roman" w:eastAsia="Times New Roman" w:hAnsi="Times New Roman" w:cs="Times New Roman"/>
          <w:sz w:val="32"/>
          <w:szCs w:val="32"/>
          <w:rtl/>
          <w:lang w:eastAsia="x-none"/>
        </w:rPr>
        <w:t xml:space="preserve"> يعتمد في كثير من أحكامه على قوانين أخرى تضبط إطار تطبيقه كالقانون المدني والجنائي والقانون العقاري وقانون تسيير الكوارث وال</w:t>
      </w:r>
      <w:r>
        <w:rPr>
          <w:rFonts w:ascii="Times New Roman" w:eastAsia="Times New Roman" w:hAnsi="Times New Roman" w:cs="Times New Roman" w:hint="cs"/>
          <w:sz w:val="32"/>
          <w:szCs w:val="32"/>
          <w:rtl/>
          <w:lang w:eastAsia="x-none"/>
        </w:rPr>
        <w:t>أ</w:t>
      </w:r>
      <w:r w:rsidRPr="00EB30BF">
        <w:rPr>
          <w:rFonts w:ascii="Times New Roman" w:eastAsia="Times New Roman" w:hAnsi="Times New Roman" w:cs="Times New Roman"/>
          <w:sz w:val="32"/>
          <w:szCs w:val="32"/>
          <w:rtl/>
          <w:lang w:eastAsia="x-none"/>
        </w:rPr>
        <w:t>خطار الكبرى.</w:t>
      </w:r>
    </w:p>
    <w:p w:rsidR="00342BE8" w:rsidRDefault="00342BE8" w:rsidP="00342BE8">
      <w:pPr>
        <w:bidi/>
        <w:spacing w:after="0" w:line="360" w:lineRule="auto"/>
        <w:jc w:val="both"/>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وقد وضع هذا القانون أليات لتطبيقه من بينها مخططات شغل الأراضي التي تعتبر أداة</w:t>
      </w:r>
      <w:r>
        <w:rPr>
          <w:rFonts w:ascii="Times New Roman" w:eastAsia="Times New Roman" w:hAnsi="Times New Roman" w:cs="Times New Roman"/>
          <w:sz w:val="32"/>
          <w:szCs w:val="32"/>
          <w:rtl/>
        </w:rPr>
        <w:t xml:space="preserve"> </w:t>
      </w:r>
      <w:r w:rsidRPr="00EB30BF">
        <w:rPr>
          <w:rFonts w:ascii="Times New Roman" w:eastAsia="Times New Roman" w:hAnsi="Times New Roman" w:cs="Times New Roman"/>
          <w:sz w:val="32"/>
          <w:szCs w:val="32"/>
          <w:rtl/>
        </w:rPr>
        <w:t xml:space="preserve">ردعية في جوهرها تقنية في تطبيقها </w:t>
      </w:r>
      <w:r>
        <w:rPr>
          <w:rFonts w:ascii="Times New Roman" w:eastAsia="Times New Roman" w:hAnsi="Times New Roman" w:cs="Times New Roman" w:hint="cs"/>
          <w:sz w:val="32"/>
          <w:szCs w:val="32"/>
          <w:rtl/>
        </w:rPr>
        <w:t>إلا أنها أثبتت هي الأخرى عجزها في إيجاد إطار قادر على تحقيق تهيئة منسجمة ومتكاملة قابلة للتطبيق على أرض الواقع لمواجهة مشاكل المجتمع.</w:t>
      </w:r>
    </w:p>
    <w:p w:rsidR="00342BE8" w:rsidRDefault="00342BE8" w:rsidP="00342BE8">
      <w:pPr>
        <w:bidi/>
        <w:spacing w:after="0" w:line="360" w:lineRule="auto"/>
        <w:jc w:val="both"/>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وهذا ما حاولنا اظهاره من خلال دراسة ثلاث نماذج على سبيل المثال لا على سبيل الحصر تمثل الحالة العامة للمخططات المصادق عليها في مدينة قسنطين</w:t>
      </w:r>
      <w:r>
        <w:rPr>
          <w:rFonts w:ascii="Times New Roman" w:eastAsia="Times New Roman" w:hAnsi="Times New Roman" w:cs="Times New Roman" w:hint="eastAsia"/>
          <w:sz w:val="32"/>
          <w:szCs w:val="32"/>
          <w:rtl/>
        </w:rPr>
        <w:t>ة</w:t>
      </w:r>
      <w:r>
        <w:rPr>
          <w:rFonts w:ascii="Times New Roman" w:eastAsia="Times New Roman" w:hAnsi="Times New Roman" w:cs="Times New Roman" w:hint="cs"/>
          <w:sz w:val="32"/>
          <w:szCs w:val="32"/>
          <w:rtl/>
        </w:rPr>
        <w:t>، وذلك بمعرفة العوامل التي تقف وراء عدم تجسيد المخططات والمتمثل في غياب دور الإدارة في المراقبة أثناء الدراسة التطبيق إلى جانب عدم كفاءة مكاتب الدراسات وإن توفرت فالدراسة تستغرق وقتا طويلا بين الإجراءا</w:t>
      </w:r>
      <w:r>
        <w:rPr>
          <w:rFonts w:ascii="Times New Roman" w:eastAsia="Times New Roman" w:hAnsi="Times New Roman" w:cs="Times New Roman" w:hint="eastAsia"/>
          <w:sz w:val="32"/>
          <w:szCs w:val="32"/>
          <w:rtl/>
        </w:rPr>
        <w:t>ت</w:t>
      </w:r>
      <w:r>
        <w:rPr>
          <w:rFonts w:ascii="Times New Roman" w:eastAsia="Times New Roman" w:hAnsi="Times New Roman" w:cs="Times New Roman" w:hint="cs"/>
          <w:sz w:val="32"/>
          <w:szCs w:val="32"/>
          <w:rtl/>
        </w:rPr>
        <w:t xml:space="preserve"> الإدارية والتنفيذ مما يجعله غير قادر على مواكبة حركة التعمير جد نشطة زد على ذلك غياب دور الجمعيات التي تمثل المواط</w:t>
      </w:r>
      <w:r>
        <w:rPr>
          <w:rFonts w:ascii="Times New Roman" w:eastAsia="Times New Roman" w:hAnsi="Times New Roman" w:cs="Times New Roman" w:hint="eastAsia"/>
          <w:sz w:val="32"/>
          <w:szCs w:val="32"/>
          <w:rtl/>
        </w:rPr>
        <w:t>ن</w:t>
      </w:r>
      <w:r>
        <w:rPr>
          <w:rFonts w:ascii="Times New Roman" w:eastAsia="Times New Roman" w:hAnsi="Times New Roman" w:cs="Times New Roman" w:hint="cs"/>
          <w:sz w:val="32"/>
          <w:szCs w:val="32"/>
          <w:rtl/>
        </w:rPr>
        <w:t xml:space="preserve"> المستعمل المباشر للمجال.</w:t>
      </w:r>
    </w:p>
    <w:p w:rsidR="001A2052" w:rsidRDefault="00342BE8" w:rsidP="002C57C0">
      <w:pPr>
        <w:bidi/>
        <w:spacing w:after="0" w:line="360" w:lineRule="auto"/>
        <w:jc w:val="both"/>
      </w:pPr>
      <w:r>
        <w:rPr>
          <w:rFonts w:ascii="Times New Roman" w:eastAsia="Times New Roman" w:hAnsi="Times New Roman" w:cs="Times New Roman" w:hint="cs"/>
          <w:sz w:val="32"/>
          <w:szCs w:val="32"/>
          <w:rtl/>
        </w:rPr>
        <w:t xml:space="preserve">وبناء على هذا تم اقتراح حلين في شكل </w:t>
      </w:r>
      <w:r w:rsidR="002C57C0">
        <w:rPr>
          <w:rFonts w:ascii="Times New Roman" w:eastAsia="Times New Roman" w:hAnsi="Times New Roman" w:cs="Times New Roman" w:hint="cs"/>
          <w:sz w:val="32"/>
          <w:szCs w:val="32"/>
          <w:rtl/>
          <w:lang w:bidi="ar-DZ"/>
        </w:rPr>
        <w:t>بديلين</w:t>
      </w:r>
      <w:r>
        <w:rPr>
          <w:rFonts w:ascii="Times New Roman" w:eastAsia="Times New Roman" w:hAnsi="Times New Roman" w:cs="Times New Roman" w:hint="cs"/>
          <w:sz w:val="32"/>
          <w:szCs w:val="32"/>
          <w:rtl/>
        </w:rPr>
        <w:t xml:space="preserve"> نراهما كفيلين لوضع حد ولو نسبيا لإشكالية عدم احترام محتوى المخططات المصادق عليها، الأول يتعلق بتدعيم دور المتدخلين والفاعلين والثاني إعادة النظر في الأداة من الناحية القانونية وهذا بهدف الوصول إلى نمو عمراني متكاملا في إطار احترام القانون. </w:t>
      </w:r>
    </w:p>
    <w:sectPr w:rsidR="001A2052" w:rsidSect="002C57C0">
      <w:headerReference w:type="even" r:id="rId6"/>
      <w:headerReference w:type="default" r:id="rId7"/>
      <w:footerReference w:type="even" r:id="rId8"/>
      <w:footerReference w:type="default" r:id="rId9"/>
      <w:headerReference w:type="first" r:id="rId10"/>
      <w:footerReference w:type="first" r:id="rId11"/>
      <w:footnotePr>
        <w:numRestart w:val="eachPage"/>
      </w:footnotePr>
      <w:pgSz w:w="11906" w:h="16838"/>
      <w:pgMar w:top="1134" w:right="1134" w:bottom="1134" w:left="1134" w:header="284" w:footer="284" w:gutter="567"/>
      <w:pgNumType w:start="10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FDE" w:rsidRDefault="00A42FDE" w:rsidP="00342BE8">
      <w:pPr>
        <w:spacing w:after="0" w:line="240" w:lineRule="auto"/>
      </w:pPr>
      <w:r>
        <w:separator/>
      </w:r>
    </w:p>
  </w:endnote>
  <w:endnote w:type="continuationSeparator" w:id="0">
    <w:p w:rsidR="00A42FDE" w:rsidRDefault="00A42FDE" w:rsidP="0034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C0" w:rsidRDefault="002C57C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925823"/>
      <w:docPartObj>
        <w:docPartGallery w:val="Page Numbers (Bottom of Page)"/>
        <w:docPartUnique/>
      </w:docPartObj>
    </w:sdtPr>
    <w:sdtEndPr/>
    <w:sdtContent>
      <w:bookmarkStart w:id="0" w:name="_GoBack" w:displacedByCustomXml="prev"/>
      <w:bookmarkEnd w:id="0" w:displacedByCustomXml="prev"/>
      <w:p w:rsidR="00876C05" w:rsidRDefault="00450B5D" w:rsidP="00342BE8">
        <w:pPr>
          <w:pStyle w:val="Pieddepage"/>
        </w:pPr>
        <w:r>
          <w:rPr>
            <w:noProof/>
            <w:lang w:eastAsia="fr-FR"/>
          </w:rPr>
          <mc:AlternateContent>
            <mc:Choice Requires="wps">
              <w:drawing>
                <wp:inline distT="0" distB="0" distL="0" distR="0" wp14:anchorId="67531EF5" wp14:editId="7AD78141">
                  <wp:extent cx="5467350" cy="45085"/>
                  <wp:effectExtent l="0" t="9525" r="0" b="2540"/>
                  <wp:docPr id="6" name="Organigramme : Décision 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99A1767" id="_x0000_t110" coordsize="21600,21600" o:spt="110" path="m10800,l,10800,10800,21600,21600,10800xe">
                  <v:stroke joinstyle="miter"/>
                  <v:path gradientshapeok="t" o:connecttype="rect" textboxrect="5400,5400,16200,16200"/>
                </v:shapetype>
                <v:shape id="Organigramme : Décision 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" fillcolor="black" stroked="f">
                  <v:fill r:id="rId1" o:title="" type="pattern"/>
                  <w10:anchorlock/>
                </v:shape>
              </w:pict>
            </mc:Fallback>
          </mc:AlternateContent>
        </w:r>
      </w:p>
      <w:p w:rsidR="00876C05" w:rsidRDefault="00450B5D">
        <w:pPr>
          <w:pStyle w:val="Pieddepage"/>
          <w:jc w:val="center"/>
        </w:pPr>
        <w:r>
          <w:fldChar w:fldCharType="begin"/>
        </w:r>
        <w:r>
          <w:instrText>PAGE    \* MERGEFORMAT</w:instrText>
        </w:r>
        <w:r>
          <w:fldChar w:fldCharType="separate"/>
        </w:r>
        <w:r w:rsidR="002C57C0">
          <w:rPr>
            <w:noProof/>
          </w:rPr>
          <w:t>100</w:t>
        </w:r>
        <w:r>
          <w:fldChar w:fldCharType="end"/>
        </w:r>
      </w:p>
    </w:sdtContent>
  </w:sdt>
  <w:p w:rsidR="009F7332" w:rsidRDefault="00A42FD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C0" w:rsidRDefault="002C57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FDE" w:rsidRDefault="00A42FDE" w:rsidP="00342BE8">
      <w:pPr>
        <w:spacing w:after="0" w:line="240" w:lineRule="auto"/>
      </w:pPr>
      <w:r>
        <w:separator/>
      </w:r>
    </w:p>
  </w:footnote>
  <w:footnote w:type="continuationSeparator" w:id="0">
    <w:p w:rsidR="00A42FDE" w:rsidRDefault="00A42FDE" w:rsidP="00342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C0" w:rsidRDefault="002C57C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08" w:rsidRDefault="00A42FDE" w:rsidP="00582CAB">
    <w:pPr>
      <w:pStyle w:val="En-tte"/>
      <w:bidi/>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C0" w:rsidRDefault="002C57C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DC"/>
    <w:rsid w:val="001A2052"/>
    <w:rsid w:val="002908B6"/>
    <w:rsid w:val="002C57C0"/>
    <w:rsid w:val="003209E4"/>
    <w:rsid w:val="00342BE8"/>
    <w:rsid w:val="00450B5D"/>
    <w:rsid w:val="007C6C8E"/>
    <w:rsid w:val="0099231B"/>
    <w:rsid w:val="00A42FDE"/>
    <w:rsid w:val="00C215EB"/>
    <w:rsid w:val="00DD23DC"/>
    <w:rsid w:val="00FD05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872A1C-3BBD-49DE-A629-66EAE323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BE8"/>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2BE8"/>
    <w:pPr>
      <w:tabs>
        <w:tab w:val="center" w:pos="4153"/>
        <w:tab w:val="right" w:pos="8306"/>
      </w:tabs>
      <w:spacing w:after="0" w:line="240" w:lineRule="auto"/>
    </w:pPr>
  </w:style>
  <w:style w:type="character" w:customStyle="1" w:styleId="En-tteCar">
    <w:name w:val="En-tête Car"/>
    <w:basedOn w:val="Policepardfaut"/>
    <w:link w:val="En-tte"/>
    <w:uiPriority w:val="99"/>
    <w:rsid w:val="00342BE8"/>
  </w:style>
  <w:style w:type="paragraph" w:styleId="Pieddepage">
    <w:name w:val="footer"/>
    <w:basedOn w:val="Normal"/>
    <w:link w:val="PieddepageCar"/>
    <w:uiPriority w:val="99"/>
    <w:unhideWhenUsed/>
    <w:rsid w:val="00342B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4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1572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SOUAD</dc:creator>
  <cp:keywords/>
  <dc:description/>
  <cp:lastModifiedBy>SOUAD</cp:lastModifiedBy>
  <cp:revision>6</cp:revision>
  <dcterms:created xsi:type="dcterms:W3CDTF">2015-10-17T04:54:00Z</dcterms:created>
  <dcterms:modified xsi:type="dcterms:W3CDTF">2015-12-15T20:18:00Z</dcterms:modified>
</cp:coreProperties>
</file>