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A1" w:rsidRPr="00F17BCA" w:rsidRDefault="006E2AA1" w:rsidP="000D7468">
      <w:pPr>
        <w:bidi/>
        <w:spacing w:after="0" w:line="240" w:lineRule="auto"/>
        <w:jc w:val="both"/>
        <w:rPr>
          <w:b/>
          <w:bCs/>
          <w:sz w:val="40"/>
          <w:szCs w:val="40"/>
          <w:rtl/>
          <w:lang w:bidi="ar-DZ"/>
        </w:rPr>
      </w:pPr>
    </w:p>
    <w:p w:rsidR="006E2AA1" w:rsidRDefault="006E2AA1" w:rsidP="006E2AA1">
      <w:pPr>
        <w:bidi/>
        <w:spacing w:after="0" w:line="240" w:lineRule="auto"/>
        <w:jc w:val="both"/>
        <w:rPr>
          <w:b/>
          <w:bCs/>
          <w:sz w:val="40"/>
          <w:szCs w:val="40"/>
          <w:lang w:bidi="ar-DZ"/>
        </w:rPr>
      </w:pPr>
    </w:p>
    <w:p w:rsidR="00F17BCA" w:rsidRPr="00F17BCA" w:rsidRDefault="00F17BCA" w:rsidP="00F17BCA">
      <w:pPr>
        <w:bidi/>
        <w:spacing w:after="0" w:line="240" w:lineRule="auto"/>
        <w:jc w:val="both"/>
        <w:rPr>
          <w:b/>
          <w:bCs/>
          <w:sz w:val="40"/>
          <w:szCs w:val="40"/>
          <w:rtl/>
          <w:lang w:bidi="ar-DZ"/>
        </w:rPr>
      </w:pPr>
    </w:p>
    <w:p w:rsidR="001A2052" w:rsidRPr="00F17BCA" w:rsidRDefault="00317797" w:rsidP="006E2AA1">
      <w:pPr>
        <w:bidi/>
        <w:spacing w:after="0" w:line="240" w:lineRule="auto"/>
        <w:jc w:val="both"/>
        <w:rPr>
          <w:b/>
          <w:bCs/>
          <w:sz w:val="44"/>
          <w:szCs w:val="44"/>
          <w:rtl/>
          <w:lang w:bidi="ar-DZ"/>
        </w:rPr>
      </w:pPr>
      <w:r w:rsidRPr="00F17BCA">
        <w:rPr>
          <w:rFonts w:hint="cs"/>
          <w:b/>
          <w:bCs/>
          <w:sz w:val="44"/>
          <w:szCs w:val="44"/>
          <w:rtl/>
          <w:lang w:bidi="ar-DZ"/>
        </w:rPr>
        <w:t>ملخص</w:t>
      </w:r>
    </w:p>
    <w:p w:rsidR="00654537" w:rsidRPr="00F17BCA" w:rsidRDefault="00317797" w:rsidP="000D746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F17BCA">
        <w:rPr>
          <w:rFonts w:ascii="Times New Roman" w:eastAsia="Calibri" w:hAnsi="Times New Roman" w:cs="Times New Roman"/>
          <w:sz w:val="40"/>
          <w:szCs w:val="40"/>
          <w:rtl/>
          <w:lang w:bidi="ar-DZ"/>
        </w:rPr>
        <w:t>شهدت</w:t>
      </w:r>
      <w:r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 مدينة قسنطينة </w:t>
      </w:r>
      <w:r w:rsidR="006115AE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على غرار ال</w:t>
      </w:r>
      <w:r w:rsidRPr="00F17BCA">
        <w:rPr>
          <w:rFonts w:ascii="Times New Roman" w:eastAsia="Calibri" w:hAnsi="Times New Roman" w:cs="Times New Roman"/>
          <w:sz w:val="40"/>
          <w:szCs w:val="40"/>
          <w:rtl/>
          <w:lang w:bidi="ar-DZ"/>
        </w:rPr>
        <w:t>مدن الجزائر</w:t>
      </w:r>
      <w:r w:rsidR="006115AE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ية</w:t>
      </w:r>
      <w:r w:rsidRPr="00F17BCA">
        <w:rPr>
          <w:rFonts w:ascii="Times New Roman" w:eastAsia="Calibri" w:hAnsi="Times New Roman" w:cs="Times New Roman"/>
          <w:sz w:val="40"/>
          <w:szCs w:val="40"/>
          <w:rtl/>
          <w:lang w:bidi="ar-DZ"/>
        </w:rPr>
        <w:t xml:space="preserve"> خلال العقود الماضية توسعا عمرانيا سريعا، </w:t>
      </w:r>
      <w:r w:rsidR="006115AE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أدى </w:t>
      </w:r>
      <w:r w:rsidR="00F93387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إلى</w:t>
      </w:r>
      <w:r w:rsidR="00F93387" w:rsidRPr="00F17BCA">
        <w:rPr>
          <w:rFonts w:ascii="Times New Roman" w:eastAsia="Calibri" w:hAnsi="Times New Roman" w:cs="Times New Roman"/>
          <w:sz w:val="40"/>
          <w:szCs w:val="40"/>
          <w:lang w:bidi="ar-DZ"/>
        </w:rPr>
        <w:t xml:space="preserve"> </w:t>
      </w:r>
      <w:r w:rsidR="00F93387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تشوه</w:t>
      </w:r>
      <w:r w:rsidR="00157BFC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 الم</w:t>
      </w:r>
      <w:r w:rsidR="00F93387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ح</w:t>
      </w:r>
      <w:r w:rsidR="00157BFC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يط الحضري </w:t>
      </w:r>
      <w:r w:rsidR="006115AE" w:rsidRPr="00F17BCA">
        <w:rPr>
          <w:rFonts w:asciiTheme="majorBidi" w:eastAsia="Times New Roman" w:hAnsiTheme="majorBidi" w:cstheme="majorBidi"/>
          <w:sz w:val="40"/>
          <w:szCs w:val="40"/>
          <w:rtl/>
          <w:lang w:eastAsia="fr-FR"/>
        </w:rPr>
        <w:t>والحاجة إلى</w:t>
      </w:r>
      <w:r w:rsidR="00A15E76" w:rsidRPr="00F17BCA">
        <w:rPr>
          <w:rFonts w:asciiTheme="majorBidi" w:eastAsia="Times New Roman" w:hAnsiTheme="majorBidi" w:cstheme="majorBidi" w:hint="cs"/>
          <w:sz w:val="40"/>
          <w:szCs w:val="40"/>
          <w:rtl/>
          <w:lang w:eastAsia="fr-FR"/>
        </w:rPr>
        <w:t xml:space="preserve"> السكن</w:t>
      </w:r>
      <w:r w:rsidR="006115AE" w:rsidRPr="00F17BCA">
        <w:rPr>
          <w:rFonts w:asciiTheme="majorBidi" w:eastAsia="Times New Roman" w:hAnsiTheme="majorBidi" w:cstheme="majorBidi"/>
          <w:sz w:val="40"/>
          <w:szCs w:val="40"/>
          <w:rtl/>
          <w:lang w:eastAsia="fr-FR"/>
        </w:rPr>
        <w:t xml:space="preserve"> </w:t>
      </w:r>
      <w:r w:rsidR="00A15E76" w:rsidRPr="00F17BCA">
        <w:rPr>
          <w:rFonts w:asciiTheme="majorBidi" w:eastAsia="Times New Roman" w:hAnsiTheme="majorBidi" w:cstheme="majorBidi" w:hint="cs"/>
          <w:sz w:val="40"/>
          <w:szCs w:val="40"/>
          <w:rtl/>
          <w:lang w:eastAsia="fr-FR"/>
        </w:rPr>
        <w:t>و</w:t>
      </w:r>
      <w:r w:rsidR="00A15E76" w:rsidRPr="00F17BCA">
        <w:rPr>
          <w:rFonts w:asciiTheme="majorBidi" w:eastAsia="Times New Roman" w:hAnsiTheme="majorBidi" w:cstheme="majorBidi"/>
          <w:sz w:val="40"/>
          <w:szCs w:val="40"/>
          <w:rtl/>
          <w:lang w:eastAsia="fr-FR"/>
        </w:rPr>
        <w:t>المرافق العمومية</w:t>
      </w:r>
      <w:r w:rsidR="006115AE" w:rsidRPr="00F17BCA">
        <w:rPr>
          <w:rFonts w:asciiTheme="majorBidi" w:eastAsia="Times New Roman" w:hAnsiTheme="majorBidi" w:cstheme="majorBidi"/>
          <w:sz w:val="40"/>
          <w:szCs w:val="40"/>
          <w:rtl/>
          <w:lang w:eastAsia="fr-FR"/>
        </w:rPr>
        <w:t xml:space="preserve">، </w:t>
      </w:r>
      <w:r w:rsidR="00AF2922" w:rsidRPr="00F17BCA">
        <w:rPr>
          <w:rFonts w:asciiTheme="majorBidi" w:eastAsia="Times New Roman" w:hAnsiTheme="majorBidi" w:cstheme="majorBidi" w:hint="cs"/>
          <w:sz w:val="40"/>
          <w:szCs w:val="40"/>
          <w:rtl/>
          <w:lang w:eastAsia="fr-FR"/>
        </w:rPr>
        <w:t>و</w:t>
      </w:r>
      <w:r w:rsidR="006115AE" w:rsidRPr="00F17BCA">
        <w:rPr>
          <w:rFonts w:asciiTheme="majorBidi" w:eastAsia="Times New Roman" w:hAnsiTheme="majorBidi" w:cstheme="majorBidi"/>
          <w:sz w:val="40"/>
          <w:szCs w:val="40"/>
          <w:rtl/>
          <w:lang w:eastAsia="fr-FR"/>
        </w:rPr>
        <w:t>كانت الحاجة ملحة في كل مرة إلى البحث عن آليات وميكانزمات من شأنها أن تساعد على التحكم في إنتاج مجال عمراني متوازن يستجيب لكل متطلبات المجتمع</w:t>
      </w:r>
      <w:r w:rsidR="007E1F3C" w:rsidRPr="00F17BCA">
        <w:rPr>
          <w:rFonts w:asciiTheme="majorBidi" w:eastAsia="Times New Roman" w:hAnsiTheme="majorBidi" w:cstheme="majorBidi" w:hint="cs"/>
          <w:sz w:val="40"/>
          <w:szCs w:val="40"/>
          <w:rtl/>
          <w:lang w:eastAsia="fr-FR"/>
        </w:rPr>
        <w:t>،</w:t>
      </w:r>
      <w:r w:rsidRPr="00F17BCA">
        <w:rPr>
          <w:rFonts w:ascii="Times New Roman" w:eastAsia="Calibri" w:hAnsi="Times New Roman" w:cs="Times New Roman"/>
          <w:sz w:val="40"/>
          <w:szCs w:val="40"/>
          <w:rtl/>
          <w:lang w:bidi="ar-DZ"/>
        </w:rPr>
        <w:t xml:space="preserve"> </w:t>
      </w:r>
      <w:r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الأمر الذي ألزم الدولة منذ الاستقلال إلى انتهاج سياسات عمرانية لمواجهة هذه المشاكل. إلا أن هذه السياسات أثبتت فشلها في كل مرة </w:t>
      </w:r>
      <w:r w:rsidR="00471668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بسبب </w:t>
      </w:r>
      <w:r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ابتعادها عن الأخذ بمعايير ومقاييس التخطيط </w:t>
      </w:r>
      <w:r w:rsidR="00584293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العمراني، إلى</w:t>
      </w:r>
      <w:r w:rsidR="00A15E76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 أن جاء </w:t>
      </w:r>
      <w:r w:rsidR="00C3776C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قانون التهيئة </w:t>
      </w:r>
      <w:r w:rsidR="00407CFF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والتعمير </w:t>
      </w:r>
      <w:r w:rsidR="00407CFF" w:rsidRPr="00F17BCA">
        <w:rPr>
          <w:rFonts w:ascii="Times New Roman" w:eastAsia="Calibri" w:hAnsi="Times New Roman" w:cs="Times New Roman" w:hint="cs"/>
          <w:sz w:val="36"/>
          <w:szCs w:val="36"/>
          <w:rtl/>
          <w:lang w:bidi="ar-DZ"/>
        </w:rPr>
        <w:t>(</w:t>
      </w:r>
      <w:r w:rsidR="00C3776C" w:rsidRPr="00F17BCA">
        <w:rPr>
          <w:rFonts w:ascii="Times New Roman" w:eastAsia="Calibri" w:hAnsi="Times New Roman" w:cs="Times New Roman" w:hint="cs"/>
          <w:sz w:val="36"/>
          <w:szCs w:val="36"/>
          <w:rtl/>
          <w:lang w:bidi="ar-DZ"/>
        </w:rPr>
        <w:t>90-29)</w:t>
      </w:r>
      <w:r w:rsidR="00C3776C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 </w:t>
      </w:r>
      <w:r w:rsidR="004D534C"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كبديل</w:t>
      </w:r>
      <w:r w:rsidR="004D534C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 </w:t>
      </w:r>
      <w:r w:rsidR="00487A9B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بآلياته المتمثلة في </w:t>
      </w:r>
      <w:r w:rsidR="00A15E76" w:rsidRPr="00F17BCA">
        <w:rPr>
          <w:rFonts w:asciiTheme="majorBidi" w:eastAsia="Times New Roman" w:hAnsiTheme="majorBidi" w:cstheme="majorBidi" w:hint="cs"/>
          <w:color w:val="000000"/>
          <w:sz w:val="40"/>
          <w:szCs w:val="40"/>
          <w:rtl/>
          <w:lang w:eastAsia="fr-FR"/>
        </w:rPr>
        <w:t xml:space="preserve">المخطط التوجيهي للتهيئة </w:t>
      </w:r>
      <w:r w:rsidR="00471668" w:rsidRPr="00F17BCA">
        <w:rPr>
          <w:rFonts w:asciiTheme="majorBidi" w:eastAsia="Times New Roman" w:hAnsiTheme="majorBidi" w:cstheme="majorBidi" w:hint="cs"/>
          <w:color w:val="000000"/>
          <w:sz w:val="40"/>
          <w:szCs w:val="40"/>
          <w:rtl/>
          <w:lang w:eastAsia="fr-FR"/>
        </w:rPr>
        <w:t xml:space="preserve">والتعمير </w:t>
      </w:r>
      <w:r w:rsidR="00487A9B" w:rsidRPr="00F17BCA">
        <w:rPr>
          <w:rFonts w:asciiTheme="majorBidi" w:eastAsia="Times New Roman" w:hAnsiTheme="majorBidi" w:cstheme="majorBidi" w:hint="cs"/>
          <w:color w:val="000000"/>
          <w:sz w:val="40"/>
          <w:szCs w:val="40"/>
          <w:rtl/>
          <w:lang w:eastAsia="fr-FR"/>
        </w:rPr>
        <w:t>و</w:t>
      </w:r>
      <w:r w:rsidR="00471668" w:rsidRPr="00F17BCA">
        <w:rPr>
          <w:rFonts w:asciiTheme="majorBidi" w:eastAsia="Times New Roman" w:hAnsiTheme="majorBidi" w:cstheme="majorBidi" w:hint="cs"/>
          <w:color w:val="000000"/>
          <w:sz w:val="40"/>
          <w:szCs w:val="40"/>
          <w:rtl/>
          <w:lang w:eastAsia="fr-FR"/>
        </w:rPr>
        <w:t xml:space="preserve">مخططات شغل الاراضي </w:t>
      </w:r>
      <w:r w:rsidR="002818AF"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التي</w:t>
      </w:r>
      <w:r w:rsidR="002818AF" w:rsidRPr="00F17BC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818AF"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تعتبر</w:t>
      </w:r>
      <w:r w:rsidRPr="00F17BCA">
        <w:rPr>
          <w:rFonts w:ascii="Times New Roman" w:eastAsia="Times New Roman" w:hAnsi="Times New Roman" w:cs="Times New Roman"/>
          <w:sz w:val="40"/>
          <w:szCs w:val="40"/>
          <w:rtl/>
        </w:rPr>
        <w:t xml:space="preserve"> أداة ردعية في جوهرها تقنية في تطبيقها</w:t>
      </w:r>
      <w:r w:rsidR="004D534C"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.</w:t>
      </w:r>
    </w:p>
    <w:p w:rsidR="00317797" w:rsidRPr="00F17BCA" w:rsidRDefault="00654537" w:rsidP="0021608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F17BCA">
        <w:rPr>
          <w:rFonts w:ascii="Times New Roman" w:eastAsia="Times New Roman" w:hAnsi="Times New Roman" w:cs="Times New Roman"/>
          <w:sz w:val="40"/>
          <w:szCs w:val="40"/>
          <w:rtl/>
          <w:lang w:bidi="ar-DZ"/>
        </w:rPr>
        <w:t>ولما كان من المنتظر أن تحقق هذه الأداة التنظيم ال</w:t>
      </w:r>
      <w:bookmarkStart w:id="0" w:name="_GoBack"/>
      <w:bookmarkEnd w:id="0"/>
      <w:r w:rsidRPr="00F17BCA">
        <w:rPr>
          <w:rFonts w:ascii="Times New Roman" w:eastAsia="Times New Roman" w:hAnsi="Times New Roman" w:cs="Times New Roman"/>
          <w:sz w:val="40"/>
          <w:szCs w:val="40"/>
          <w:rtl/>
          <w:lang w:bidi="ar-DZ"/>
        </w:rPr>
        <w:t xml:space="preserve">عمراني وفقا لما خطط له، نجد أنها قد حادت عن أهدافها لأسباب عديدة منها ما </w:t>
      </w:r>
      <w:r w:rsidR="004D534C" w:rsidRPr="00F17BCA">
        <w:rPr>
          <w:rFonts w:ascii="Times New Roman" w:eastAsia="Times New Roman" w:hAnsi="Times New Roman" w:cs="Times New Roman" w:hint="cs"/>
          <w:sz w:val="40"/>
          <w:szCs w:val="40"/>
          <w:rtl/>
          <w:lang w:bidi="ar-DZ"/>
        </w:rPr>
        <w:t>ت</w:t>
      </w:r>
      <w:r w:rsidRPr="00F17BCA">
        <w:rPr>
          <w:rFonts w:ascii="Times New Roman" w:eastAsia="Times New Roman" w:hAnsi="Times New Roman" w:cs="Times New Roman"/>
          <w:sz w:val="40"/>
          <w:szCs w:val="40"/>
          <w:rtl/>
          <w:lang w:bidi="ar-DZ"/>
        </w:rPr>
        <w:t xml:space="preserve">علق بطول مدة دراستها، ومنها ما يرجع إلى القرارات السياسية </w:t>
      </w:r>
      <w:r w:rsidR="004D534C" w:rsidRPr="00F17BCA">
        <w:rPr>
          <w:rFonts w:ascii="Times New Roman" w:eastAsia="Times New Roman" w:hAnsi="Times New Roman" w:cs="Times New Roman" w:hint="cs"/>
          <w:sz w:val="40"/>
          <w:szCs w:val="40"/>
          <w:rtl/>
          <w:lang w:bidi="ar-DZ"/>
        </w:rPr>
        <w:t>أ</w:t>
      </w:r>
      <w:r w:rsidRPr="00F17BCA">
        <w:rPr>
          <w:rFonts w:ascii="Times New Roman" w:eastAsia="Times New Roman" w:hAnsi="Times New Roman" w:cs="Times New Roman"/>
          <w:sz w:val="40"/>
          <w:szCs w:val="40"/>
          <w:rtl/>
          <w:lang w:bidi="ar-DZ"/>
        </w:rPr>
        <w:t>و نتيجة لظروف طارئة تحول دون احترامه</w:t>
      </w:r>
      <w:r w:rsidR="004D534C" w:rsidRPr="00F17BCA">
        <w:rPr>
          <w:rFonts w:ascii="Times New Roman" w:eastAsia="Times New Roman" w:hAnsi="Times New Roman" w:cs="Times New Roman" w:hint="cs"/>
          <w:sz w:val="40"/>
          <w:szCs w:val="40"/>
          <w:rtl/>
          <w:lang w:bidi="ar-DZ"/>
        </w:rPr>
        <w:t>ا</w:t>
      </w:r>
      <w:r w:rsidR="00216080" w:rsidRPr="00F17BCA">
        <w:rPr>
          <w:rFonts w:ascii="Times New Roman" w:eastAsia="Times New Roman" w:hAnsi="Times New Roman" w:cs="Times New Roman" w:hint="cs"/>
          <w:sz w:val="40"/>
          <w:szCs w:val="40"/>
          <w:rtl/>
          <w:lang w:bidi="ar-DZ"/>
        </w:rPr>
        <w:t xml:space="preserve"> </w:t>
      </w:r>
      <w:r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إذ </w:t>
      </w:r>
      <w:r w:rsidR="00317797" w:rsidRPr="00F17BCA">
        <w:rPr>
          <w:rFonts w:ascii="Times New Roman" w:eastAsia="Times New Roman" w:hAnsi="Times New Roman" w:cs="Times New Roman"/>
          <w:sz w:val="40"/>
          <w:szCs w:val="40"/>
          <w:rtl/>
        </w:rPr>
        <w:t>أثبتت هي الأخرى عجزها في إيجاد إطار قادر على تحقيق تهيئة منسجمة ومتكاملة قابلة للتطبيق على أرض الواقع لمواجهة مشاكل المجتمع.</w:t>
      </w:r>
    </w:p>
    <w:p w:rsidR="00317797" w:rsidRPr="00F17BCA" w:rsidRDefault="004D534C" w:rsidP="000D7468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F17BCA">
        <w:rPr>
          <w:rFonts w:ascii="Times New Roman" w:eastAsia="Calibri" w:hAnsi="Times New Roman" w:cs="Times New Roman"/>
          <w:sz w:val="40"/>
          <w:szCs w:val="40"/>
          <w:rtl/>
          <w:lang w:bidi="ar-DZ"/>
        </w:rPr>
        <w:t xml:space="preserve">ومن هنا جاء اهتمامنا لدراسة هذه الأداة </w:t>
      </w:r>
      <w:r w:rsidR="00495CC6"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>ل</w:t>
      </w:r>
      <w:r w:rsidRPr="00F17BCA">
        <w:rPr>
          <w:rFonts w:ascii="Times New Roman" w:eastAsia="Calibri" w:hAnsi="Times New Roman" w:cs="Times New Roman"/>
          <w:sz w:val="40"/>
          <w:szCs w:val="40"/>
          <w:rtl/>
          <w:lang w:bidi="ar-DZ"/>
        </w:rPr>
        <w:t>فهم مدى تطبيقها على أرض الواقع من خلال دراسة حالات واقعية لمخططات شغل الأراضي وكيف تم التعامل معها</w:t>
      </w:r>
      <w:r w:rsidRPr="00F17BCA">
        <w:rPr>
          <w:rFonts w:ascii="Times New Roman" w:eastAsia="Calibri" w:hAnsi="Times New Roman" w:cs="Times New Roman" w:hint="cs"/>
          <w:sz w:val="40"/>
          <w:szCs w:val="40"/>
          <w:rtl/>
          <w:lang w:bidi="ar-DZ"/>
        </w:rPr>
        <w:t xml:space="preserve"> والوقوف على </w:t>
      </w:r>
      <w:r w:rsidR="00317797" w:rsidRPr="00F17BCA">
        <w:rPr>
          <w:rFonts w:ascii="Times New Roman" w:eastAsia="Times New Roman" w:hAnsi="Times New Roman" w:cs="Times New Roman"/>
          <w:sz w:val="40"/>
          <w:szCs w:val="40"/>
          <w:rtl/>
        </w:rPr>
        <w:t xml:space="preserve">العوامل التي </w:t>
      </w:r>
      <w:r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أدت الى</w:t>
      </w:r>
      <w:r w:rsidR="00317797" w:rsidRPr="00F17BCA">
        <w:rPr>
          <w:rFonts w:ascii="Times New Roman" w:eastAsia="Times New Roman" w:hAnsi="Times New Roman" w:cs="Times New Roman"/>
          <w:sz w:val="40"/>
          <w:szCs w:val="40"/>
          <w:rtl/>
        </w:rPr>
        <w:t xml:space="preserve"> عدم تجسيد</w:t>
      </w:r>
      <w:r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ها</w:t>
      </w:r>
      <w:r w:rsidR="00317797" w:rsidRPr="00F17BCA"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كليا أو جزئي</w:t>
      </w:r>
      <w:r w:rsidRPr="00F17BCA">
        <w:rPr>
          <w:rFonts w:ascii="Times New Roman" w:eastAsia="Times New Roman" w:hAnsi="Times New Roman" w:cs="Times New Roman" w:hint="eastAsia"/>
          <w:sz w:val="40"/>
          <w:szCs w:val="40"/>
          <w:rtl/>
        </w:rPr>
        <w:t>ا</w:t>
      </w:r>
      <w:r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مع اقتراح حلول </w:t>
      </w:r>
      <w:r w:rsidR="00317797" w:rsidRPr="00F17BCA">
        <w:rPr>
          <w:rFonts w:ascii="Times New Roman" w:eastAsia="Times New Roman" w:hAnsi="Times New Roman" w:cs="Times New Roman"/>
          <w:sz w:val="40"/>
          <w:szCs w:val="40"/>
          <w:rtl/>
        </w:rPr>
        <w:t>نراها كفيل</w:t>
      </w:r>
      <w:r w:rsidRPr="00F17BCA">
        <w:rPr>
          <w:rFonts w:ascii="Times New Roman" w:eastAsia="Times New Roman" w:hAnsi="Times New Roman" w:cs="Times New Roman" w:hint="cs"/>
          <w:sz w:val="40"/>
          <w:szCs w:val="40"/>
          <w:rtl/>
        </w:rPr>
        <w:t>ة</w:t>
      </w:r>
      <w:r w:rsidR="00317797" w:rsidRPr="00F17BCA">
        <w:rPr>
          <w:rFonts w:ascii="Times New Roman" w:eastAsia="Times New Roman" w:hAnsi="Times New Roman" w:cs="Times New Roman"/>
          <w:sz w:val="40"/>
          <w:szCs w:val="40"/>
          <w:rtl/>
        </w:rPr>
        <w:t xml:space="preserve"> لوضع حد ولو نسبيا لإشكالية عدم احترا</w:t>
      </w:r>
      <w:r w:rsidRPr="00F17BCA">
        <w:rPr>
          <w:rFonts w:ascii="Times New Roman" w:eastAsia="Times New Roman" w:hAnsi="Times New Roman" w:cs="Times New Roman"/>
          <w:sz w:val="40"/>
          <w:szCs w:val="40"/>
          <w:rtl/>
        </w:rPr>
        <w:t>م محتوى المخططات المصادق عليها</w:t>
      </w:r>
      <w:r w:rsidR="00076532" w:rsidRPr="00F17BCA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216080" w:rsidRPr="00F17BCA" w:rsidRDefault="00216080" w:rsidP="000D746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DZ"/>
        </w:rPr>
      </w:pPr>
    </w:p>
    <w:p w:rsidR="00BC31A5" w:rsidRPr="00F17BCA" w:rsidRDefault="009C6355" w:rsidP="0021608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DZ"/>
        </w:rPr>
      </w:pPr>
      <w:r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>الكلمات المفتاحية:</w:t>
      </w:r>
    </w:p>
    <w:p w:rsidR="00317797" w:rsidRPr="00F17BCA" w:rsidRDefault="00BC31A5" w:rsidP="000D7468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-DZ"/>
        </w:rPr>
      </w:pPr>
      <w:r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          </w:t>
      </w:r>
      <w:r w:rsidR="009C6355"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التعمير، المجال الحضري، النمو </w:t>
      </w:r>
      <w:r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>العمراني، أدوات</w:t>
      </w:r>
      <w:r w:rsidR="009C6355"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 xml:space="preserve"> التهيئة </w:t>
      </w:r>
      <w:r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>والتعمير</w:t>
      </w:r>
      <w:r w:rsidR="009C6355" w:rsidRPr="00F17BCA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-DZ"/>
        </w:rPr>
        <w:t>، التخطيط الحضري،</w:t>
      </w:r>
    </w:p>
    <w:p w:rsidR="00C41506" w:rsidRPr="00F17BCA" w:rsidRDefault="00C41506" w:rsidP="000D7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sectPr w:rsidR="00C41506" w:rsidRPr="00F17BCA" w:rsidSect="0018317E">
      <w:footerReference w:type="default" r:id="rId7"/>
      <w:pgSz w:w="11906" w:h="16838"/>
      <w:pgMar w:top="851" w:right="1134" w:bottom="992" w:left="1134" w:header="709" w:footer="567" w:gutter="0"/>
      <w:pgBorders w:offsetFrom="page">
        <w:top w:val="decoArch" w:sz="20" w:space="24" w:color="auto"/>
        <w:left w:val="decoArch" w:sz="20" w:space="24" w:color="auto"/>
        <w:bottom w:val="decoArch" w:sz="20" w:space="24" w:color="auto"/>
        <w:right w:val="decoArch" w:sz="20" w:space="24" w:color="auto"/>
      </w:pgBorders>
      <w:pgNumType w:start="113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58" w:rsidRDefault="00D92458" w:rsidP="004E1B74">
      <w:pPr>
        <w:spacing w:after="0" w:line="240" w:lineRule="auto"/>
      </w:pPr>
      <w:r>
        <w:separator/>
      </w:r>
    </w:p>
  </w:endnote>
  <w:endnote w:type="continuationSeparator" w:id="0">
    <w:p w:rsidR="00D92458" w:rsidRDefault="00D92458" w:rsidP="004E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045504"/>
      <w:docPartObj>
        <w:docPartGallery w:val="Page Numbers (Bottom of Page)"/>
        <w:docPartUnique/>
      </w:docPartObj>
    </w:sdtPr>
    <w:sdtEndPr/>
    <w:sdtContent>
      <w:p w:rsidR="004E1B74" w:rsidRDefault="004E1B74">
        <w:pPr>
          <w:pStyle w:val="Pieddepage"/>
          <w:jc w:val="center"/>
        </w:pPr>
      </w:p>
      <w:p w:rsidR="004E1B74" w:rsidRDefault="00D92458">
        <w:pPr>
          <w:pStyle w:val="Pieddepage"/>
          <w:jc w:val="center"/>
        </w:pPr>
      </w:p>
    </w:sdtContent>
  </w:sdt>
  <w:p w:rsidR="004E1B74" w:rsidRDefault="004E1B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58" w:rsidRDefault="00D92458" w:rsidP="004E1B74">
      <w:pPr>
        <w:spacing w:after="0" w:line="240" w:lineRule="auto"/>
      </w:pPr>
      <w:r>
        <w:separator/>
      </w:r>
    </w:p>
  </w:footnote>
  <w:footnote w:type="continuationSeparator" w:id="0">
    <w:p w:rsidR="00D92458" w:rsidRDefault="00D92458" w:rsidP="004E1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E7"/>
    <w:rsid w:val="00076532"/>
    <w:rsid w:val="000959A9"/>
    <w:rsid w:val="000B7FFD"/>
    <w:rsid w:val="000C32A8"/>
    <w:rsid w:val="000D7468"/>
    <w:rsid w:val="001413D0"/>
    <w:rsid w:val="00142B4C"/>
    <w:rsid w:val="00157BFC"/>
    <w:rsid w:val="0018153B"/>
    <w:rsid w:val="0018317E"/>
    <w:rsid w:val="001A2052"/>
    <w:rsid w:val="00216080"/>
    <w:rsid w:val="00244CF2"/>
    <w:rsid w:val="0026209D"/>
    <w:rsid w:val="002818AF"/>
    <w:rsid w:val="002D3265"/>
    <w:rsid w:val="00317797"/>
    <w:rsid w:val="003209E4"/>
    <w:rsid w:val="003C7178"/>
    <w:rsid w:val="003D0CC1"/>
    <w:rsid w:val="003E205D"/>
    <w:rsid w:val="00407CFF"/>
    <w:rsid w:val="00471668"/>
    <w:rsid w:val="0048116C"/>
    <w:rsid w:val="0048382D"/>
    <w:rsid w:val="00487A9B"/>
    <w:rsid w:val="00495CC6"/>
    <w:rsid w:val="004D534C"/>
    <w:rsid w:val="004E1B74"/>
    <w:rsid w:val="00584293"/>
    <w:rsid w:val="005D2250"/>
    <w:rsid w:val="00602A3A"/>
    <w:rsid w:val="006115AE"/>
    <w:rsid w:val="00654537"/>
    <w:rsid w:val="006E2AA1"/>
    <w:rsid w:val="00705D5A"/>
    <w:rsid w:val="0074088B"/>
    <w:rsid w:val="007E1F3C"/>
    <w:rsid w:val="008170AB"/>
    <w:rsid w:val="0092771F"/>
    <w:rsid w:val="009C6355"/>
    <w:rsid w:val="009D1D0B"/>
    <w:rsid w:val="009E5773"/>
    <w:rsid w:val="00A15E76"/>
    <w:rsid w:val="00A67909"/>
    <w:rsid w:val="00AD2957"/>
    <w:rsid w:val="00AF2922"/>
    <w:rsid w:val="00BC31A5"/>
    <w:rsid w:val="00BE54A6"/>
    <w:rsid w:val="00C3776C"/>
    <w:rsid w:val="00C41506"/>
    <w:rsid w:val="00C4300B"/>
    <w:rsid w:val="00D636C3"/>
    <w:rsid w:val="00D63E93"/>
    <w:rsid w:val="00D6768D"/>
    <w:rsid w:val="00D92458"/>
    <w:rsid w:val="00DC6D7E"/>
    <w:rsid w:val="00DD404B"/>
    <w:rsid w:val="00E80136"/>
    <w:rsid w:val="00F1762D"/>
    <w:rsid w:val="00F17BCA"/>
    <w:rsid w:val="00F41DE7"/>
    <w:rsid w:val="00F82063"/>
    <w:rsid w:val="00F93387"/>
    <w:rsid w:val="00FB6548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A24F39-8BFE-4EBE-AFC9-D0B0482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5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1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B74"/>
  </w:style>
  <w:style w:type="paragraph" w:styleId="Pieddepage">
    <w:name w:val="footer"/>
    <w:basedOn w:val="Normal"/>
    <w:link w:val="PieddepageCar"/>
    <w:uiPriority w:val="99"/>
    <w:unhideWhenUsed/>
    <w:rsid w:val="004E1B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B74"/>
  </w:style>
  <w:style w:type="paragraph" w:styleId="Textedebulles">
    <w:name w:val="Balloon Text"/>
    <w:basedOn w:val="Normal"/>
    <w:link w:val="TextedebullesCar"/>
    <w:uiPriority w:val="99"/>
    <w:semiHidden/>
    <w:unhideWhenUsed/>
    <w:rsid w:val="0007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FEFD-D4C0-4100-899A-6F27255E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53</cp:revision>
  <cp:lastPrinted>2016-01-06T14:22:00Z</cp:lastPrinted>
  <dcterms:created xsi:type="dcterms:W3CDTF">2015-10-15T19:06:00Z</dcterms:created>
  <dcterms:modified xsi:type="dcterms:W3CDTF">2016-01-06T14:23:00Z</dcterms:modified>
</cp:coreProperties>
</file>