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5A" w:rsidRPr="00B9155A" w:rsidRDefault="00B9155A" w:rsidP="00B9155A">
      <w:pPr>
        <w:bidi/>
        <w:spacing w:after="0" w:line="240" w:lineRule="auto"/>
        <w:jc w:val="both"/>
        <w:rPr>
          <w:b/>
          <w:bCs/>
          <w:sz w:val="48"/>
          <w:szCs w:val="48"/>
          <w:rtl/>
          <w:lang w:bidi="ar-DZ"/>
        </w:rPr>
      </w:pPr>
      <w:bookmarkStart w:id="0" w:name="_GoBack"/>
      <w:bookmarkEnd w:id="0"/>
      <w:r w:rsidRPr="00B9155A">
        <w:rPr>
          <w:rFonts w:hint="cs"/>
          <w:b/>
          <w:bCs/>
          <w:sz w:val="48"/>
          <w:szCs w:val="48"/>
          <w:rtl/>
          <w:lang w:bidi="ar-DZ"/>
        </w:rPr>
        <w:t>ملخص</w:t>
      </w:r>
    </w:p>
    <w:p w:rsidR="00B9155A" w:rsidRPr="00B9155A" w:rsidRDefault="00B9155A" w:rsidP="00B9155A">
      <w:pPr>
        <w:bidi/>
        <w:spacing w:after="0" w:line="276" w:lineRule="auto"/>
        <w:jc w:val="both"/>
        <w:rPr>
          <w:rFonts w:ascii="Times New Roman" w:eastAsia="Times New Roman" w:hAnsi="Times New Roman" w:cs="Times New Roman"/>
          <w:sz w:val="40"/>
          <w:szCs w:val="40"/>
          <w:rtl/>
        </w:rPr>
      </w:pPr>
      <w:r w:rsidRPr="00B9155A">
        <w:rPr>
          <w:rFonts w:ascii="Times New Roman" w:eastAsia="Calibri" w:hAnsi="Times New Roman" w:cs="Times New Roman"/>
          <w:sz w:val="40"/>
          <w:szCs w:val="40"/>
          <w:rtl/>
          <w:lang w:bidi="ar-DZ"/>
        </w:rPr>
        <w:t>شهدت</w:t>
      </w:r>
      <w:r w:rsidRPr="00B9155A">
        <w:rPr>
          <w:rFonts w:ascii="Times New Roman" w:eastAsia="Calibri" w:hAnsi="Times New Roman" w:cs="Times New Roman" w:hint="cs"/>
          <w:sz w:val="40"/>
          <w:szCs w:val="40"/>
          <w:rtl/>
          <w:lang w:bidi="ar-DZ"/>
        </w:rPr>
        <w:t xml:space="preserve"> مدينة قسنطينة على غرار ال</w:t>
      </w:r>
      <w:r w:rsidRPr="00B9155A">
        <w:rPr>
          <w:rFonts w:ascii="Times New Roman" w:eastAsia="Calibri" w:hAnsi="Times New Roman" w:cs="Times New Roman"/>
          <w:sz w:val="40"/>
          <w:szCs w:val="40"/>
          <w:rtl/>
          <w:lang w:bidi="ar-DZ"/>
        </w:rPr>
        <w:t>مدن الجزائر</w:t>
      </w:r>
      <w:r w:rsidRPr="00B9155A">
        <w:rPr>
          <w:rFonts w:ascii="Times New Roman" w:eastAsia="Calibri" w:hAnsi="Times New Roman" w:cs="Times New Roman" w:hint="cs"/>
          <w:sz w:val="40"/>
          <w:szCs w:val="40"/>
          <w:rtl/>
          <w:lang w:bidi="ar-DZ"/>
        </w:rPr>
        <w:t>ية</w:t>
      </w:r>
      <w:r w:rsidRPr="00B9155A">
        <w:rPr>
          <w:rFonts w:ascii="Times New Roman" w:eastAsia="Calibri" w:hAnsi="Times New Roman" w:cs="Times New Roman"/>
          <w:sz w:val="40"/>
          <w:szCs w:val="40"/>
          <w:rtl/>
          <w:lang w:bidi="ar-DZ"/>
        </w:rPr>
        <w:t xml:space="preserve"> خلال العقود الماضية توسعا عمرانيا سريعا، </w:t>
      </w:r>
      <w:r w:rsidRPr="00B9155A">
        <w:rPr>
          <w:rFonts w:ascii="Times New Roman" w:eastAsia="Calibri" w:hAnsi="Times New Roman" w:cs="Times New Roman" w:hint="cs"/>
          <w:sz w:val="40"/>
          <w:szCs w:val="40"/>
          <w:rtl/>
          <w:lang w:bidi="ar-DZ"/>
        </w:rPr>
        <w:t>أدى إلى</w:t>
      </w:r>
      <w:r w:rsidRPr="00B9155A">
        <w:rPr>
          <w:rFonts w:ascii="Times New Roman" w:eastAsia="Calibri" w:hAnsi="Times New Roman" w:cs="Times New Roman"/>
          <w:sz w:val="40"/>
          <w:szCs w:val="40"/>
          <w:lang w:bidi="ar-DZ"/>
        </w:rPr>
        <w:t xml:space="preserve"> </w:t>
      </w:r>
      <w:r w:rsidRPr="00B9155A">
        <w:rPr>
          <w:rFonts w:ascii="Times New Roman" w:eastAsia="Calibri" w:hAnsi="Times New Roman" w:cs="Times New Roman" w:hint="cs"/>
          <w:sz w:val="40"/>
          <w:szCs w:val="40"/>
          <w:rtl/>
          <w:lang w:bidi="ar-DZ"/>
        </w:rPr>
        <w:t xml:space="preserve">تشوه المحيط الحضري </w:t>
      </w:r>
      <w:r w:rsidRPr="00B9155A">
        <w:rPr>
          <w:rFonts w:asciiTheme="majorBidi" w:eastAsia="Times New Roman" w:hAnsiTheme="majorBidi" w:cstheme="majorBidi"/>
          <w:sz w:val="40"/>
          <w:szCs w:val="40"/>
          <w:rtl/>
          <w:lang w:eastAsia="fr-FR"/>
        </w:rPr>
        <w:t>والحاجة إلى</w:t>
      </w:r>
      <w:r w:rsidRPr="00B9155A">
        <w:rPr>
          <w:rFonts w:asciiTheme="majorBidi" w:eastAsia="Times New Roman" w:hAnsiTheme="majorBidi" w:cstheme="majorBidi" w:hint="cs"/>
          <w:sz w:val="40"/>
          <w:szCs w:val="40"/>
          <w:rtl/>
          <w:lang w:eastAsia="fr-FR"/>
        </w:rPr>
        <w:t xml:space="preserve"> السكن</w:t>
      </w:r>
      <w:r w:rsidRPr="00B9155A">
        <w:rPr>
          <w:rFonts w:asciiTheme="majorBidi" w:eastAsia="Times New Roman" w:hAnsiTheme="majorBidi" w:cstheme="majorBidi"/>
          <w:sz w:val="40"/>
          <w:szCs w:val="40"/>
          <w:rtl/>
          <w:lang w:eastAsia="fr-FR"/>
        </w:rPr>
        <w:t xml:space="preserve"> </w:t>
      </w:r>
      <w:r w:rsidRPr="00B9155A">
        <w:rPr>
          <w:rFonts w:asciiTheme="majorBidi" w:eastAsia="Times New Roman" w:hAnsiTheme="majorBidi" w:cstheme="majorBidi" w:hint="cs"/>
          <w:sz w:val="40"/>
          <w:szCs w:val="40"/>
          <w:rtl/>
          <w:lang w:eastAsia="fr-FR"/>
        </w:rPr>
        <w:t>و</w:t>
      </w:r>
      <w:r w:rsidRPr="00B9155A">
        <w:rPr>
          <w:rFonts w:asciiTheme="majorBidi" w:eastAsia="Times New Roman" w:hAnsiTheme="majorBidi" w:cstheme="majorBidi"/>
          <w:sz w:val="40"/>
          <w:szCs w:val="40"/>
          <w:rtl/>
          <w:lang w:eastAsia="fr-FR"/>
        </w:rPr>
        <w:t xml:space="preserve">المرافق العمومية، </w:t>
      </w:r>
      <w:r w:rsidRPr="00B9155A">
        <w:rPr>
          <w:rFonts w:asciiTheme="majorBidi" w:eastAsia="Times New Roman" w:hAnsiTheme="majorBidi" w:cstheme="majorBidi" w:hint="cs"/>
          <w:sz w:val="40"/>
          <w:szCs w:val="40"/>
          <w:rtl/>
          <w:lang w:eastAsia="fr-FR"/>
        </w:rPr>
        <w:t>و</w:t>
      </w:r>
      <w:r w:rsidRPr="00B9155A">
        <w:rPr>
          <w:rFonts w:asciiTheme="majorBidi" w:eastAsia="Times New Roman" w:hAnsiTheme="majorBidi" w:cstheme="majorBidi"/>
          <w:sz w:val="40"/>
          <w:szCs w:val="40"/>
          <w:rtl/>
          <w:lang w:eastAsia="fr-FR"/>
        </w:rPr>
        <w:t>كانت الحاجة ملحة في كل مرة إلى البحث عن آليات وميكانزمات من شأنها أن تساعد على التحكم في إنتاج مجال عمراني متوازن يستجيب لكل متطلبات المجتمع</w:t>
      </w:r>
      <w:r w:rsidRPr="00B9155A">
        <w:rPr>
          <w:rFonts w:asciiTheme="majorBidi" w:eastAsia="Times New Roman" w:hAnsiTheme="majorBidi" w:cstheme="majorBidi" w:hint="cs"/>
          <w:sz w:val="40"/>
          <w:szCs w:val="40"/>
          <w:rtl/>
          <w:lang w:eastAsia="fr-FR"/>
        </w:rPr>
        <w:t>،</w:t>
      </w:r>
      <w:r w:rsidRPr="00B9155A">
        <w:rPr>
          <w:rFonts w:ascii="Times New Roman" w:eastAsia="Calibri" w:hAnsi="Times New Roman" w:cs="Times New Roman"/>
          <w:sz w:val="40"/>
          <w:szCs w:val="40"/>
          <w:rtl/>
          <w:lang w:bidi="ar-DZ"/>
        </w:rPr>
        <w:t xml:space="preserve"> </w:t>
      </w:r>
      <w:r w:rsidRPr="00B9155A">
        <w:rPr>
          <w:rFonts w:ascii="Times New Roman" w:eastAsia="Calibri" w:hAnsi="Times New Roman" w:cs="Times New Roman" w:hint="cs"/>
          <w:sz w:val="40"/>
          <w:szCs w:val="40"/>
          <w:rtl/>
          <w:lang w:bidi="ar-DZ"/>
        </w:rPr>
        <w:t xml:space="preserve">الأمر الذي ألزم الدولة منذ الاستقلال إلى انتهاج سياسات عمرانية لمواجهة هذه المشاكل. إلا أن هذه السياسات أثبتت فشلها في كل مرة بسبب ابتعادها عن الأخذ بمعايير ومقاييس التخطيط العمراني، إلى أن جاء قانون التهيئة والتعمير </w:t>
      </w:r>
      <w:r w:rsidRPr="00B9155A">
        <w:rPr>
          <w:rFonts w:ascii="Times New Roman" w:eastAsia="Calibri" w:hAnsi="Times New Roman" w:cs="Times New Roman" w:hint="cs"/>
          <w:sz w:val="36"/>
          <w:szCs w:val="36"/>
          <w:rtl/>
          <w:lang w:bidi="ar-DZ"/>
        </w:rPr>
        <w:t>(90-29)</w:t>
      </w:r>
      <w:r w:rsidRPr="00B9155A">
        <w:rPr>
          <w:rFonts w:ascii="Times New Roman" w:eastAsia="Calibri" w:hAnsi="Times New Roman" w:cs="Times New Roman" w:hint="cs"/>
          <w:sz w:val="40"/>
          <w:szCs w:val="40"/>
          <w:rtl/>
          <w:lang w:bidi="ar-DZ"/>
        </w:rPr>
        <w:t xml:space="preserve"> </w:t>
      </w:r>
      <w:r w:rsidRPr="00B9155A">
        <w:rPr>
          <w:rFonts w:ascii="Times New Roman" w:eastAsia="Times New Roman" w:hAnsi="Times New Roman" w:cs="Times New Roman" w:hint="cs"/>
          <w:sz w:val="40"/>
          <w:szCs w:val="40"/>
          <w:rtl/>
        </w:rPr>
        <w:t>كبديل</w:t>
      </w:r>
      <w:r w:rsidRPr="00B9155A">
        <w:rPr>
          <w:rFonts w:ascii="Times New Roman" w:eastAsia="Calibri" w:hAnsi="Times New Roman" w:cs="Times New Roman" w:hint="cs"/>
          <w:sz w:val="40"/>
          <w:szCs w:val="40"/>
          <w:rtl/>
          <w:lang w:bidi="ar-DZ"/>
        </w:rPr>
        <w:t xml:space="preserve"> بآلياته المتمثلة في </w:t>
      </w:r>
      <w:r w:rsidRPr="00B9155A">
        <w:rPr>
          <w:rFonts w:asciiTheme="majorBidi" w:eastAsia="Times New Roman" w:hAnsiTheme="majorBidi" w:cstheme="majorBidi" w:hint="cs"/>
          <w:color w:val="000000"/>
          <w:sz w:val="40"/>
          <w:szCs w:val="40"/>
          <w:rtl/>
          <w:lang w:eastAsia="fr-FR"/>
        </w:rPr>
        <w:t xml:space="preserve">المخطط التوجيهي للتهيئة والتعمير ومخططات شغل الاراضي </w:t>
      </w:r>
      <w:r w:rsidRPr="00B9155A">
        <w:rPr>
          <w:rFonts w:ascii="Times New Roman" w:eastAsia="Times New Roman" w:hAnsi="Times New Roman" w:cs="Times New Roman" w:hint="cs"/>
          <w:sz w:val="40"/>
          <w:szCs w:val="40"/>
          <w:rtl/>
        </w:rPr>
        <w:t>التي</w:t>
      </w:r>
      <w:r w:rsidRPr="00B9155A">
        <w:rPr>
          <w:rFonts w:ascii="Times New Roman" w:eastAsia="Times New Roman" w:hAnsi="Times New Roman" w:cs="Times New Roman"/>
          <w:sz w:val="40"/>
          <w:szCs w:val="40"/>
        </w:rPr>
        <w:t xml:space="preserve"> </w:t>
      </w:r>
      <w:r w:rsidRPr="00B9155A">
        <w:rPr>
          <w:rFonts w:ascii="Times New Roman" w:eastAsia="Times New Roman" w:hAnsi="Times New Roman" w:cs="Times New Roman" w:hint="cs"/>
          <w:sz w:val="40"/>
          <w:szCs w:val="40"/>
          <w:rtl/>
        </w:rPr>
        <w:t>تعتبر</w:t>
      </w:r>
      <w:r w:rsidRPr="00B9155A">
        <w:rPr>
          <w:rFonts w:ascii="Times New Roman" w:eastAsia="Times New Roman" w:hAnsi="Times New Roman" w:cs="Times New Roman"/>
          <w:sz w:val="40"/>
          <w:szCs w:val="40"/>
          <w:rtl/>
        </w:rPr>
        <w:t xml:space="preserve"> أداة ردعية في جوهرها تقنية في تطبيقها</w:t>
      </w:r>
      <w:r w:rsidRPr="00B9155A">
        <w:rPr>
          <w:rFonts w:ascii="Times New Roman" w:eastAsia="Times New Roman" w:hAnsi="Times New Roman" w:cs="Times New Roman" w:hint="cs"/>
          <w:sz w:val="40"/>
          <w:szCs w:val="40"/>
          <w:rtl/>
        </w:rPr>
        <w:t>.</w:t>
      </w:r>
    </w:p>
    <w:p w:rsidR="00B9155A" w:rsidRPr="00B9155A" w:rsidRDefault="00B9155A" w:rsidP="00B9155A">
      <w:pPr>
        <w:bidi/>
        <w:spacing w:after="0" w:line="276" w:lineRule="auto"/>
        <w:jc w:val="both"/>
        <w:rPr>
          <w:rFonts w:ascii="Times New Roman" w:eastAsia="Times New Roman" w:hAnsi="Times New Roman" w:cs="Times New Roman"/>
          <w:sz w:val="40"/>
          <w:szCs w:val="40"/>
          <w:rtl/>
        </w:rPr>
      </w:pPr>
      <w:r w:rsidRPr="00B9155A">
        <w:rPr>
          <w:rFonts w:ascii="Times New Roman" w:eastAsia="Times New Roman" w:hAnsi="Times New Roman" w:cs="Times New Roman"/>
          <w:sz w:val="40"/>
          <w:szCs w:val="40"/>
          <w:rtl/>
          <w:lang w:bidi="ar-DZ"/>
        </w:rPr>
        <w:t xml:space="preserve">ولما كان من المنتظر أن تحقق هذه الأداة التنظيم العمراني وفقا لما خطط له، نجد أنها قد حادت عن أهدافها لأسباب عديدة منها ما </w:t>
      </w:r>
      <w:r w:rsidRPr="00B9155A">
        <w:rPr>
          <w:rFonts w:ascii="Times New Roman" w:eastAsia="Times New Roman" w:hAnsi="Times New Roman" w:cs="Times New Roman" w:hint="cs"/>
          <w:sz w:val="40"/>
          <w:szCs w:val="40"/>
          <w:rtl/>
          <w:lang w:bidi="ar-DZ"/>
        </w:rPr>
        <w:t>ت</w:t>
      </w:r>
      <w:r w:rsidRPr="00B9155A">
        <w:rPr>
          <w:rFonts w:ascii="Times New Roman" w:eastAsia="Times New Roman" w:hAnsi="Times New Roman" w:cs="Times New Roman"/>
          <w:sz w:val="40"/>
          <w:szCs w:val="40"/>
          <w:rtl/>
          <w:lang w:bidi="ar-DZ"/>
        </w:rPr>
        <w:t xml:space="preserve">علق بطول مدة دراستها، ومنها ما يرجع إلى القرارات السياسية </w:t>
      </w:r>
      <w:r w:rsidRPr="00B9155A">
        <w:rPr>
          <w:rFonts w:ascii="Times New Roman" w:eastAsia="Times New Roman" w:hAnsi="Times New Roman" w:cs="Times New Roman" w:hint="cs"/>
          <w:sz w:val="40"/>
          <w:szCs w:val="40"/>
          <w:rtl/>
          <w:lang w:bidi="ar-DZ"/>
        </w:rPr>
        <w:t>أ</w:t>
      </w:r>
      <w:r w:rsidRPr="00B9155A">
        <w:rPr>
          <w:rFonts w:ascii="Times New Roman" w:eastAsia="Times New Roman" w:hAnsi="Times New Roman" w:cs="Times New Roman"/>
          <w:sz w:val="40"/>
          <w:szCs w:val="40"/>
          <w:rtl/>
          <w:lang w:bidi="ar-DZ"/>
        </w:rPr>
        <w:t>و نتيجة لظروف طارئة تحول دون احترامه</w:t>
      </w:r>
      <w:r w:rsidRPr="00B9155A">
        <w:rPr>
          <w:rFonts w:ascii="Times New Roman" w:eastAsia="Times New Roman" w:hAnsi="Times New Roman" w:cs="Times New Roman" w:hint="cs"/>
          <w:sz w:val="40"/>
          <w:szCs w:val="40"/>
          <w:rtl/>
          <w:lang w:bidi="ar-DZ"/>
        </w:rPr>
        <w:t>ا</w:t>
      </w:r>
      <w:r w:rsidRPr="00B9155A">
        <w:rPr>
          <w:rFonts w:ascii="Times New Roman" w:eastAsia="Times New Roman" w:hAnsi="Times New Roman" w:cs="Times New Roman"/>
          <w:sz w:val="40"/>
          <w:szCs w:val="40"/>
          <w:rtl/>
          <w:lang w:bidi="ar-DZ"/>
        </w:rPr>
        <w:t>...</w:t>
      </w:r>
      <w:r w:rsidRPr="00B9155A">
        <w:rPr>
          <w:rFonts w:ascii="Times New Roman" w:eastAsia="Times New Roman" w:hAnsi="Times New Roman" w:cs="Times New Roman" w:hint="cs"/>
          <w:sz w:val="40"/>
          <w:szCs w:val="40"/>
          <w:rtl/>
          <w:lang w:bidi="ar-DZ"/>
        </w:rPr>
        <w:t xml:space="preserve">          </w:t>
      </w:r>
      <w:r w:rsidRPr="00B9155A">
        <w:rPr>
          <w:rFonts w:ascii="Times New Roman" w:eastAsia="Times New Roman" w:hAnsi="Times New Roman" w:cs="Times New Roman" w:hint="cs"/>
          <w:sz w:val="40"/>
          <w:szCs w:val="40"/>
          <w:rtl/>
        </w:rPr>
        <w:t xml:space="preserve">إذ </w:t>
      </w:r>
      <w:r w:rsidRPr="00B9155A">
        <w:rPr>
          <w:rFonts w:ascii="Times New Roman" w:eastAsia="Times New Roman" w:hAnsi="Times New Roman" w:cs="Times New Roman"/>
          <w:sz w:val="40"/>
          <w:szCs w:val="40"/>
          <w:rtl/>
        </w:rPr>
        <w:t>أثبتت هي الأخرى عجزها في إيجاد إطار قادر على تحقيق تهيئة منسجمة ومتكاملة قابلة للتطبيق على أرض الواقع لمواجهة مشاكل المجتمع.</w:t>
      </w:r>
    </w:p>
    <w:p w:rsidR="00B9155A" w:rsidRPr="00B9155A" w:rsidRDefault="00B9155A" w:rsidP="00B9155A">
      <w:pPr>
        <w:shd w:val="clear" w:color="auto" w:fill="FFFFFF"/>
        <w:bidi/>
        <w:spacing w:after="0" w:line="276" w:lineRule="auto"/>
        <w:jc w:val="both"/>
        <w:rPr>
          <w:rFonts w:ascii="Times New Roman" w:eastAsia="Times New Roman" w:hAnsi="Times New Roman" w:cs="Times New Roman"/>
          <w:sz w:val="40"/>
          <w:szCs w:val="40"/>
          <w:rtl/>
        </w:rPr>
      </w:pPr>
      <w:r w:rsidRPr="00B9155A">
        <w:rPr>
          <w:rFonts w:ascii="Times New Roman" w:eastAsia="Calibri" w:hAnsi="Times New Roman" w:cs="Times New Roman"/>
          <w:sz w:val="40"/>
          <w:szCs w:val="40"/>
          <w:rtl/>
          <w:lang w:bidi="ar-DZ"/>
        </w:rPr>
        <w:t xml:space="preserve">ومن هنا جاء اهتمامنا لدراسة هذه الأداة </w:t>
      </w:r>
      <w:r w:rsidRPr="00B9155A">
        <w:rPr>
          <w:rFonts w:ascii="Times New Roman" w:eastAsia="Calibri" w:hAnsi="Times New Roman" w:cs="Times New Roman" w:hint="cs"/>
          <w:sz w:val="40"/>
          <w:szCs w:val="40"/>
          <w:rtl/>
          <w:lang w:bidi="ar-DZ"/>
        </w:rPr>
        <w:t>ل</w:t>
      </w:r>
      <w:r w:rsidRPr="00B9155A">
        <w:rPr>
          <w:rFonts w:ascii="Times New Roman" w:eastAsia="Calibri" w:hAnsi="Times New Roman" w:cs="Times New Roman"/>
          <w:sz w:val="40"/>
          <w:szCs w:val="40"/>
          <w:rtl/>
          <w:lang w:bidi="ar-DZ"/>
        </w:rPr>
        <w:t>فهم مدى تطبيقها على أرض الواقع من خلال دراسة حالات واقعية لمخططات شغل الأراضي وكيف تم التعامل معها</w:t>
      </w:r>
      <w:r w:rsidRPr="00B9155A">
        <w:rPr>
          <w:rFonts w:ascii="Times New Roman" w:eastAsia="Calibri" w:hAnsi="Times New Roman" w:cs="Times New Roman" w:hint="cs"/>
          <w:sz w:val="40"/>
          <w:szCs w:val="40"/>
          <w:rtl/>
          <w:lang w:bidi="ar-DZ"/>
        </w:rPr>
        <w:t xml:space="preserve"> والوقوف على </w:t>
      </w:r>
      <w:r w:rsidRPr="00B9155A">
        <w:rPr>
          <w:rFonts w:ascii="Times New Roman" w:eastAsia="Times New Roman" w:hAnsi="Times New Roman" w:cs="Times New Roman"/>
          <w:sz w:val="40"/>
          <w:szCs w:val="40"/>
          <w:rtl/>
        </w:rPr>
        <w:t xml:space="preserve">العوامل التي </w:t>
      </w:r>
      <w:r w:rsidRPr="00B9155A">
        <w:rPr>
          <w:rFonts w:ascii="Times New Roman" w:eastAsia="Times New Roman" w:hAnsi="Times New Roman" w:cs="Times New Roman" w:hint="cs"/>
          <w:sz w:val="40"/>
          <w:szCs w:val="40"/>
          <w:rtl/>
        </w:rPr>
        <w:t>أدت الى</w:t>
      </w:r>
      <w:r w:rsidRPr="00B9155A">
        <w:rPr>
          <w:rFonts w:ascii="Times New Roman" w:eastAsia="Times New Roman" w:hAnsi="Times New Roman" w:cs="Times New Roman"/>
          <w:sz w:val="40"/>
          <w:szCs w:val="40"/>
          <w:rtl/>
        </w:rPr>
        <w:t xml:space="preserve"> عدم تجسيد</w:t>
      </w:r>
      <w:r w:rsidRPr="00B9155A">
        <w:rPr>
          <w:rFonts w:ascii="Times New Roman" w:eastAsia="Times New Roman" w:hAnsi="Times New Roman" w:cs="Times New Roman" w:hint="cs"/>
          <w:sz w:val="40"/>
          <w:szCs w:val="40"/>
          <w:rtl/>
        </w:rPr>
        <w:t>ها</w:t>
      </w:r>
      <w:r w:rsidRPr="00B9155A">
        <w:rPr>
          <w:rFonts w:ascii="Times New Roman" w:eastAsia="Times New Roman" w:hAnsi="Times New Roman" w:cs="Times New Roman"/>
          <w:sz w:val="40"/>
          <w:szCs w:val="40"/>
          <w:rtl/>
        </w:rPr>
        <w:t xml:space="preserve"> </w:t>
      </w:r>
      <w:r w:rsidRPr="00B9155A">
        <w:rPr>
          <w:rFonts w:ascii="Times New Roman" w:eastAsia="Times New Roman" w:hAnsi="Times New Roman" w:cs="Times New Roman" w:hint="cs"/>
          <w:sz w:val="40"/>
          <w:szCs w:val="40"/>
          <w:rtl/>
        </w:rPr>
        <w:t>كليا أو جزئي</w:t>
      </w:r>
      <w:r w:rsidRPr="00B9155A">
        <w:rPr>
          <w:rFonts w:ascii="Times New Roman" w:eastAsia="Times New Roman" w:hAnsi="Times New Roman" w:cs="Times New Roman" w:hint="eastAsia"/>
          <w:sz w:val="40"/>
          <w:szCs w:val="40"/>
          <w:rtl/>
        </w:rPr>
        <w:t>ا</w:t>
      </w:r>
      <w:r w:rsidRPr="00B9155A">
        <w:rPr>
          <w:rFonts w:ascii="Times New Roman" w:eastAsia="Times New Roman" w:hAnsi="Times New Roman" w:cs="Times New Roman" w:hint="cs"/>
          <w:sz w:val="40"/>
          <w:szCs w:val="40"/>
          <w:rtl/>
        </w:rPr>
        <w:t xml:space="preserve"> مع اقتراح حلول </w:t>
      </w:r>
      <w:r w:rsidRPr="00B9155A">
        <w:rPr>
          <w:rFonts w:ascii="Times New Roman" w:eastAsia="Times New Roman" w:hAnsi="Times New Roman" w:cs="Times New Roman"/>
          <w:sz w:val="40"/>
          <w:szCs w:val="40"/>
          <w:rtl/>
        </w:rPr>
        <w:t>نراها كفيل</w:t>
      </w:r>
      <w:r w:rsidRPr="00B9155A">
        <w:rPr>
          <w:rFonts w:ascii="Times New Roman" w:eastAsia="Times New Roman" w:hAnsi="Times New Roman" w:cs="Times New Roman" w:hint="cs"/>
          <w:sz w:val="40"/>
          <w:szCs w:val="40"/>
          <w:rtl/>
        </w:rPr>
        <w:t>ة</w:t>
      </w:r>
      <w:r w:rsidRPr="00B9155A">
        <w:rPr>
          <w:rFonts w:ascii="Times New Roman" w:eastAsia="Times New Roman" w:hAnsi="Times New Roman" w:cs="Times New Roman"/>
          <w:sz w:val="40"/>
          <w:szCs w:val="40"/>
          <w:rtl/>
        </w:rPr>
        <w:t xml:space="preserve"> لوضع حد ولو نسبيا لإشكالية عدم احترام محتوى المخططات المصادق عليها</w:t>
      </w:r>
      <w:r w:rsidRPr="00B9155A">
        <w:rPr>
          <w:rFonts w:ascii="Times New Roman" w:eastAsia="Times New Roman" w:hAnsi="Times New Roman" w:cs="Times New Roman"/>
          <w:sz w:val="40"/>
          <w:szCs w:val="40"/>
        </w:rPr>
        <w:t>.</w:t>
      </w:r>
    </w:p>
    <w:p w:rsidR="00B9155A" w:rsidRPr="00B9155A" w:rsidRDefault="00B9155A" w:rsidP="00B9155A">
      <w:pPr>
        <w:bidi/>
        <w:spacing w:after="0" w:line="276" w:lineRule="auto"/>
        <w:jc w:val="both"/>
        <w:rPr>
          <w:rFonts w:ascii="Times New Roman" w:eastAsia="Times New Roman" w:hAnsi="Times New Roman" w:cs="Times New Roman"/>
          <w:b/>
          <w:bCs/>
          <w:sz w:val="32"/>
          <w:szCs w:val="32"/>
          <w:rtl/>
          <w:lang w:bidi="ar-DZ"/>
        </w:rPr>
      </w:pPr>
      <w:r w:rsidRPr="00B9155A">
        <w:rPr>
          <w:rFonts w:ascii="Times New Roman" w:eastAsia="Times New Roman" w:hAnsi="Times New Roman" w:cs="Times New Roman" w:hint="cs"/>
          <w:b/>
          <w:bCs/>
          <w:sz w:val="32"/>
          <w:szCs w:val="32"/>
          <w:rtl/>
          <w:lang w:bidi="ar-DZ"/>
        </w:rPr>
        <w:t>الكلمات المفتاحية:</w:t>
      </w:r>
    </w:p>
    <w:p w:rsidR="00B9155A" w:rsidRPr="00B9155A" w:rsidRDefault="00B9155A" w:rsidP="00B9155A">
      <w:pPr>
        <w:bidi/>
        <w:spacing w:after="0" w:line="276" w:lineRule="auto"/>
        <w:jc w:val="both"/>
        <w:rPr>
          <w:rFonts w:ascii="Times New Roman" w:eastAsia="Times New Roman" w:hAnsi="Times New Roman" w:cs="Times New Roman"/>
          <w:b/>
          <w:bCs/>
          <w:sz w:val="32"/>
          <w:szCs w:val="32"/>
          <w:rtl/>
          <w:lang w:bidi="ar-DZ"/>
        </w:rPr>
      </w:pPr>
      <w:r w:rsidRPr="00B9155A">
        <w:rPr>
          <w:rFonts w:ascii="Times New Roman" w:eastAsia="Times New Roman" w:hAnsi="Times New Roman" w:cs="Times New Roman" w:hint="cs"/>
          <w:b/>
          <w:bCs/>
          <w:sz w:val="32"/>
          <w:szCs w:val="32"/>
          <w:rtl/>
          <w:lang w:bidi="ar-DZ"/>
        </w:rPr>
        <w:t xml:space="preserve">            التعمير، المجال الحضري، النمو العمراني، أدوات التهيئة والتعمير، التخطيط الحضري،</w:t>
      </w:r>
    </w:p>
    <w:p w:rsidR="00B9155A" w:rsidRDefault="00B9155A" w:rsidP="00B9155A">
      <w:pPr>
        <w:spacing w:after="0" w:line="276" w:lineRule="auto"/>
        <w:jc w:val="both"/>
        <w:rPr>
          <w:rFonts w:ascii="Times New Roman" w:eastAsia="Times New Roman" w:hAnsi="Times New Roman" w:cs="Times New Roman"/>
          <w:b/>
          <w:bCs/>
          <w:sz w:val="36"/>
          <w:szCs w:val="36"/>
          <w:u w:val="single"/>
          <w:rtl/>
        </w:rPr>
      </w:pPr>
    </w:p>
    <w:p w:rsidR="00B9155A" w:rsidRDefault="00B9155A" w:rsidP="00B9155A">
      <w:pPr>
        <w:spacing w:after="0" w:line="276" w:lineRule="auto"/>
        <w:jc w:val="both"/>
        <w:rPr>
          <w:rFonts w:ascii="Times New Roman" w:eastAsia="Times New Roman" w:hAnsi="Times New Roman" w:cs="Times New Roman"/>
          <w:b/>
          <w:bCs/>
          <w:sz w:val="36"/>
          <w:szCs w:val="36"/>
          <w:u w:val="single"/>
          <w:rtl/>
        </w:rPr>
      </w:pPr>
    </w:p>
    <w:p w:rsidR="00B9155A" w:rsidRPr="00B9155A" w:rsidRDefault="00B9155A" w:rsidP="00B9155A">
      <w:pPr>
        <w:spacing w:after="0" w:line="276" w:lineRule="auto"/>
        <w:jc w:val="both"/>
        <w:rPr>
          <w:rFonts w:ascii="Times New Roman" w:eastAsia="Times New Roman" w:hAnsi="Times New Roman" w:cs="Times New Roman"/>
          <w:b/>
          <w:bCs/>
          <w:sz w:val="36"/>
          <w:szCs w:val="36"/>
          <w:u w:val="single"/>
        </w:rPr>
      </w:pPr>
    </w:p>
    <w:p w:rsidR="00B9155A" w:rsidRPr="00B9155A" w:rsidRDefault="00B9155A" w:rsidP="00B9155A">
      <w:pPr>
        <w:spacing w:after="0" w:line="240" w:lineRule="auto"/>
        <w:jc w:val="both"/>
        <w:rPr>
          <w:rFonts w:ascii="Times New Roman" w:eastAsia="Times New Roman" w:hAnsi="Times New Roman" w:cs="Times New Roman"/>
          <w:sz w:val="40"/>
          <w:szCs w:val="40"/>
        </w:rPr>
      </w:pPr>
      <w:r w:rsidRPr="00B9155A">
        <w:rPr>
          <w:rFonts w:ascii="Times New Roman" w:eastAsia="Times New Roman" w:hAnsi="Times New Roman" w:cs="Times New Roman"/>
          <w:b/>
          <w:bCs/>
          <w:sz w:val="40"/>
          <w:szCs w:val="40"/>
        </w:rPr>
        <w:lastRenderedPageBreak/>
        <w:t>Résumé</w:t>
      </w:r>
      <w:r w:rsidRPr="00B9155A">
        <w:rPr>
          <w:rFonts w:ascii="Times New Roman" w:eastAsia="Times New Roman" w:hAnsi="Times New Roman" w:cs="Times New Roman"/>
          <w:sz w:val="40"/>
          <w:szCs w:val="40"/>
        </w:rPr>
        <w:t> :</w:t>
      </w:r>
    </w:p>
    <w:p w:rsidR="00B9155A" w:rsidRPr="00B9155A" w:rsidRDefault="00B9155A" w:rsidP="00B9155A">
      <w:pPr>
        <w:spacing w:after="0" w:line="276" w:lineRule="auto"/>
        <w:jc w:val="both"/>
        <w:rPr>
          <w:rFonts w:ascii="Times New Roman" w:eastAsia="Times New Roman" w:hAnsi="Times New Roman" w:cs="Times New Roman"/>
          <w:sz w:val="32"/>
          <w:szCs w:val="32"/>
        </w:rPr>
      </w:pPr>
      <w:r w:rsidRPr="00B9155A">
        <w:rPr>
          <w:rFonts w:ascii="Times New Roman" w:eastAsia="Times New Roman" w:hAnsi="Times New Roman" w:cs="Times New Roman"/>
          <w:sz w:val="32"/>
          <w:szCs w:val="32"/>
        </w:rPr>
        <w:t xml:space="preserve">A l’instar des villes algériennes, Constantine a connu au cours des dernières décennies une expansion urbaine rapide, engendrant une déformation de l’espace urbain, crise de logement et insuffisance dans les équipements publics. Un besoin urgent pour rechercher les mécanismes aidant à contrôler la production d’un espace équilibré répondant aux exigences de la société, un objectif qui a conduit à l’engagement de l’Etat depuis l’indépendance par l’adoption des politiques urbaines pour résoudre ces problèmes. </w:t>
      </w:r>
    </w:p>
    <w:p w:rsidR="00B9155A" w:rsidRPr="00B9155A" w:rsidRDefault="00B9155A" w:rsidP="00B9155A">
      <w:pPr>
        <w:spacing w:after="0" w:line="276" w:lineRule="auto"/>
        <w:jc w:val="both"/>
        <w:rPr>
          <w:rFonts w:ascii="Times New Roman" w:eastAsia="Times New Roman" w:hAnsi="Times New Roman" w:cs="Times New Roman"/>
          <w:sz w:val="32"/>
          <w:szCs w:val="32"/>
        </w:rPr>
      </w:pPr>
      <w:r w:rsidRPr="00B9155A">
        <w:rPr>
          <w:rFonts w:ascii="Times New Roman" w:eastAsia="Times New Roman" w:hAnsi="Times New Roman" w:cs="Times New Roman"/>
          <w:sz w:val="32"/>
          <w:szCs w:val="32"/>
        </w:rPr>
        <w:t>Cependant, ces politiques ont prouvé leur échec à cause de la non-prise en charge des critères et des normes de la planification urbaine, et ce jusqu’à l’arrivée de la loi (</w:t>
      </w:r>
      <w:r w:rsidRPr="00B9155A">
        <w:rPr>
          <w:rFonts w:ascii="Times New Roman" w:eastAsia="Times New Roman" w:hAnsi="Times New Roman" w:cs="Times New Roman" w:hint="cs"/>
          <w:sz w:val="32"/>
          <w:szCs w:val="32"/>
          <w:rtl/>
        </w:rPr>
        <w:t>90</w:t>
      </w:r>
      <w:r w:rsidRPr="00B9155A">
        <w:rPr>
          <w:rFonts w:ascii="Times New Roman" w:eastAsia="Times New Roman" w:hAnsi="Times New Roman" w:cs="Times New Roman"/>
          <w:sz w:val="32"/>
          <w:szCs w:val="32"/>
        </w:rPr>
        <w:t>-</w:t>
      </w:r>
      <w:r w:rsidRPr="00B9155A">
        <w:rPr>
          <w:rFonts w:ascii="Times New Roman" w:eastAsia="Times New Roman" w:hAnsi="Times New Roman" w:cs="Times New Roman" w:hint="cs"/>
          <w:sz w:val="32"/>
          <w:szCs w:val="32"/>
          <w:rtl/>
        </w:rPr>
        <w:t>29</w:t>
      </w:r>
      <w:r w:rsidRPr="00B9155A">
        <w:rPr>
          <w:rFonts w:ascii="Times New Roman" w:eastAsia="Times New Roman" w:hAnsi="Times New Roman" w:cs="Times New Roman"/>
          <w:sz w:val="32"/>
          <w:szCs w:val="32"/>
        </w:rPr>
        <w:t xml:space="preserve">) relative à l’aménagement et l’urbanisme comme une alternative avec ses instruments, Plan Directeur d’Aménagement et d’Urbanisme (le PDAU) ainsi les Plans d’Occupation des Sols (les POS). Ce dernier –objet de notre travail- est considéré comme un outil préventif dans son fond, et technique dans son application.      </w:t>
      </w:r>
    </w:p>
    <w:p w:rsidR="00B9155A" w:rsidRPr="00B9155A" w:rsidRDefault="00B9155A" w:rsidP="00B9155A">
      <w:pPr>
        <w:spacing w:after="0" w:line="276" w:lineRule="auto"/>
        <w:jc w:val="both"/>
        <w:rPr>
          <w:rFonts w:ascii="Times New Roman" w:eastAsia="Times New Roman" w:hAnsi="Times New Roman" w:cs="Times New Roman"/>
          <w:sz w:val="32"/>
          <w:szCs w:val="32"/>
        </w:rPr>
      </w:pPr>
      <w:r w:rsidRPr="00B9155A">
        <w:rPr>
          <w:rFonts w:ascii="Times New Roman" w:eastAsia="Times New Roman" w:hAnsi="Times New Roman" w:cs="Times New Roman"/>
          <w:sz w:val="32"/>
          <w:szCs w:val="32"/>
        </w:rPr>
        <w:t xml:space="preserve">Malgré ce qui a été prévu comme objectifs de cet outil et qui est l’organisation de l’occupation du sol, nous pouvons constater qu’il a dévié de ses objectifs pour de nombreuses raisons à cause de la longue durée de l’étude, les décisions politiques ou en raison de circonstances imprévues empêchant son application… Ce qui a démontré l’incapacité de cet outil (le POS) de créer un cadre capable de réaliser un aménagement harmonieux et intégré applicable sur le terrain pour faire face aux problèmes de la société.   </w:t>
      </w:r>
    </w:p>
    <w:p w:rsidR="00B9155A" w:rsidRPr="00B9155A" w:rsidRDefault="00B9155A" w:rsidP="00B9155A">
      <w:pPr>
        <w:spacing w:after="0" w:line="276" w:lineRule="auto"/>
        <w:jc w:val="both"/>
        <w:rPr>
          <w:rFonts w:ascii="Times New Roman" w:eastAsia="Times New Roman" w:hAnsi="Times New Roman" w:cs="Times New Roman"/>
          <w:sz w:val="32"/>
          <w:szCs w:val="32"/>
          <w:lang w:bidi="ar-DZ"/>
        </w:rPr>
      </w:pPr>
      <w:r w:rsidRPr="00B9155A">
        <w:rPr>
          <w:rFonts w:ascii="Times New Roman" w:eastAsia="Times New Roman" w:hAnsi="Times New Roman" w:cs="Times New Roman"/>
          <w:sz w:val="32"/>
          <w:szCs w:val="32"/>
          <w:lang w:bidi="ar-DZ"/>
        </w:rPr>
        <w:t xml:space="preserve">D’où notre intérêt pour étudier cet outil afin de comprendre son application sur terrain à travers l’étude des cas réels des Plans d’Occupation de Sol, ainsi la manière de les traiter et la recherche des facteurs qui ont conduit à leur non matérialisation complète ou partielle. Des solutions sont </w:t>
      </w:r>
      <w:proofErr w:type="spellStart"/>
      <w:r w:rsidRPr="00B9155A">
        <w:rPr>
          <w:rFonts w:ascii="Times New Roman" w:eastAsia="Times New Roman" w:hAnsi="Times New Roman" w:cs="Times New Roman"/>
          <w:sz w:val="32"/>
          <w:szCs w:val="32"/>
          <w:lang w:bidi="ar-DZ"/>
        </w:rPr>
        <w:t>a</w:t>
      </w:r>
      <w:proofErr w:type="spellEnd"/>
      <w:r w:rsidRPr="00B9155A">
        <w:rPr>
          <w:rFonts w:ascii="Times New Roman" w:eastAsia="Times New Roman" w:hAnsi="Times New Roman" w:cs="Times New Roman"/>
          <w:sz w:val="32"/>
          <w:szCs w:val="32"/>
          <w:lang w:bidi="ar-DZ"/>
        </w:rPr>
        <w:t xml:space="preserve"> proposées -considérées selon notre avis- capables de mettre fin même en partie au non-respect du contenu des plans approuvés.    </w:t>
      </w:r>
    </w:p>
    <w:p w:rsidR="00B9155A" w:rsidRPr="00B9155A" w:rsidRDefault="00B9155A" w:rsidP="00B9155A">
      <w:pPr>
        <w:spacing w:after="0" w:line="276" w:lineRule="auto"/>
        <w:jc w:val="both"/>
        <w:rPr>
          <w:rFonts w:ascii="Times New Roman" w:eastAsia="Times New Roman" w:hAnsi="Times New Roman" w:cs="Times New Roman"/>
          <w:b/>
          <w:bCs/>
          <w:sz w:val="32"/>
          <w:szCs w:val="32"/>
          <w:lang w:bidi="ar-DZ"/>
        </w:rPr>
      </w:pPr>
      <w:r w:rsidRPr="00B9155A">
        <w:rPr>
          <w:rFonts w:ascii="Times New Roman" w:eastAsia="Times New Roman" w:hAnsi="Times New Roman" w:cs="Times New Roman"/>
          <w:b/>
          <w:bCs/>
          <w:sz w:val="36"/>
          <w:szCs w:val="36"/>
          <w:lang w:bidi="ar-DZ"/>
        </w:rPr>
        <w:t>Mots clés </w:t>
      </w:r>
      <w:r w:rsidRPr="00B9155A">
        <w:rPr>
          <w:rFonts w:ascii="Times New Roman" w:eastAsia="Times New Roman" w:hAnsi="Times New Roman" w:cs="Times New Roman"/>
          <w:b/>
          <w:bCs/>
          <w:sz w:val="32"/>
          <w:szCs w:val="32"/>
          <w:lang w:bidi="ar-DZ"/>
        </w:rPr>
        <w:t>: L’urbanisation, l’espace urbain, le développement urbain, les instruments d’urbanisme, la planification urbaine.</w:t>
      </w:r>
    </w:p>
    <w:p w:rsidR="00B9155A" w:rsidRPr="00B9155A" w:rsidRDefault="00B9155A" w:rsidP="00B9155A">
      <w:pPr>
        <w:spacing w:after="0" w:line="240" w:lineRule="auto"/>
        <w:jc w:val="both"/>
        <w:rPr>
          <w:rFonts w:ascii="Times New Roman" w:eastAsia="Times New Roman" w:hAnsi="Times New Roman" w:cs="Times New Roman"/>
          <w:sz w:val="40"/>
          <w:szCs w:val="40"/>
        </w:rPr>
      </w:pPr>
      <w:r w:rsidRPr="00B9155A">
        <w:rPr>
          <w:rFonts w:ascii="Times New Roman" w:eastAsia="Times New Roman" w:hAnsi="Times New Roman" w:cs="Times New Roman"/>
          <w:b/>
          <w:bCs/>
          <w:sz w:val="40"/>
          <w:szCs w:val="40"/>
        </w:rPr>
        <w:lastRenderedPageBreak/>
        <w:t>Abstract</w:t>
      </w:r>
      <w:r w:rsidRPr="00B9155A">
        <w:rPr>
          <w:rFonts w:ascii="Times New Roman" w:eastAsia="Times New Roman" w:hAnsi="Times New Roman" w:cs="Times New Roman"/>
          <w:sz w:val="40"/>
          <w:szCs w:val="40"/>
        </w:rPr>
        <w:t> :</w:t>
      </w:r>
    </w:p>
    <w:p w:rsidR="00B9155A" w:rsidRPr="00E11F21" w:rsidRDefault="00B9155A" w:rsidP="00B9155A">
      <w:pPr>
        <w:spacing w:after="0" w:line="240" w:lineRule="auto"/>
        <w:jc w:val="both"/>
        <w:rPr>
          <w:rFonts w:ascii="Times New Roman" w:eastAsia="Times New Roman" w:hAnsi="Times New Roman" w:cs="Times New Roman"/>
          <w:sz w:val="32"/>
          <w:szCs w:val="32"/>
          <w:lang w:val="en-US"/>
        </w:rPr>
      </w:pPr>
      <w:r w:rsidRPr="00E11F21">
        <w:rPr>
          <w:rFonts w:ascii="Times New Roman" w:eastAsia="Times New Roman" w:hAnsi="Times New Roman" w:cs="Times New Roman"/>
          <w:sz w:val="32"/>
          <w:szCs w:val="32"/>
          <w:lang w:val="en-US"/>
        </w:rPr>
        <w:t xml:space="preserve">As the Algerian cities, Constantine has experienced during the last decades a fast urban expansion, generating a deformation of the urban environment and a need for housing and public equipment. An urgent need to look for mechanisms helping to control the production of well-balanced urban space that meets the society’s requirements. This aim led to the commitment of the state since the independence by the adoption of urban policies to solve these problems.     </w:t>
      </w:r>
    </w:p>
    <w:p w:rsidR="00B9155A" w:rsidRPr="00E11F21" w:rsidRDefault="00B9155A" w:rsidP="00B9155A">
      <w:pPr>
        <w:spacing w:after="0" w:line="240" w:lineRule="auto"/>
        <w:jc w:val="both"/>
        <w:rPr>
          <w:rFonts w:asciiTheme="majorBidi" w:hAnsiTheme="majorBidi" w:cstheme="majorBidi"/>
          <w:sz w:val="32"/>
          <w:szCs w:val="32"/>
          <w:lang w:val="en-US"/>
        </w:rPr>
      </w:pPr>
      <w:r w:rsidRPr="00E11F21">
        <w:rPr>
          <w:rFonts w:asciiTheme="majorBidi" w:hAnsiTheme="majorBidi" w:cstheme="majorBidi"/>
          <w:sz w:val="32"/>
          <w:szCs w:val="32"/>
          <w:lang w:val="en-US"/>
        </w:rPr>
        <w:t xml:space="preserve">However, these policies have proven their failure because of the non-care of the criteria and standards of the urban planning, until the arrival of the law construction (29-90) as an alternative with its mechanisms, like the PDAU and the POS. The latter –our work object- </w:t>
      </w:r>
      <w:proofErr w:type="gramStart"/>
      <w:r w:rsidRPr="00E11F21">
        <w:rPr>
          <w:rFonts w:asciiTheme="majorBidi" w:hAnsiTheme="majorBidi" w:cstheme="majorBidi"/>
          <w:sz w:val="32"/>
          <w:szCs w:val="32"/>
          <w:lang w:val="en-US"/>
        </w:rPr>
        <w:t>is considered</w:t>
      </w:r>
      <w:proofErr w:type="gramEnd"/>
      <w:r w:rsidRPr="00E11F21">
        <w:rPr>
          <w:rFonts w:asciiTheme="majorBidi" w:hAnsiTheme="majorBidi" w:cstheme="majorBidi"/>
          <w:sz w:val="32"/>
          <w:szCs w:val="32"/>
          <w:lang w:val="en-US"/>
        </w:rPr>
        <w:t xml:space="preserve"> as a preventive tool in its content, and a technical one in its application.  </w:t>
      </w:r>
    </w:p>
    <w:p w:rsidR="00B9155A" w:rsidRPr="00E11F21" w:rsidRDefault="00B9155A" w:rsidP="00B9155A">
      <w:pPr>
        <w:spacing w:after="0" w:line="240" w:lineRule="auto"/>
        <w:jc w:val="both"/>
        <w:rPr>
          <w:rFonts w:ascii="Times New Roman" w:eastAsia="Times New Roman" w:hAnsi="Times New Roman" w:cs="Times New Roman"/>
          <w:sz w:val="32"/>
          <w:szCs w:val="32"/>
          <w:lang w:val="en-US"/>
        </w:rPr>
      </w:pPr>
      <w:proofErr w:type="gramStart"/>
      <w:r w:rsidRPr="00E11F21">
        <w:rPr>
          <w:rFonts w:ascii="Times New Roman" w:eastAsia="Times New Roman" w:hAnsi="Times New Roman" w:cs="Times New Roman"/>
          <w:sz w:val="32"/>
          <w:szCs w:val="32"/>
          <w:lang w:val="en-US"/>
        </w:rPr>
        <w:t>Despite the intended objective of this tool which is the urban organization, we can notice that it has deviated from its aims for many reasons, such as the long-term study, the political decisions or the unforeseen circumstances preventing its application…Which demonstrated the incapacity of this tool (POS) to create a capable framework for achieving a harmonious and an integrated development applicable in situ to face the problems of the society.</w:t>
      </w:r>
      <w:proofErr w:type="gramEnd"/>
      <w:r w:rsidRPr="00E11F21">
        <w:rPr>
          <w:rFonts w:ascii="Times New Roman" w:eastAsia="Times New Roman" w:hAnsi="Times New Roman" w:cs="Times New Roman"/>
          <w:sz w:val="32"/>
          <w:szCs w:val="32"/>
          <w:lang w:val="en-US"/>
        </w:rPr>
        <w:t xml:space="preserve"> </w:t>
      </w:r>
    </w:p>
    <w:p w:rsidR="00B9155A" w:rsidRPr="00E11F21" w:rsidRDefault="00B9155A" w:rsidP="00B9155A">
      <w:pPr>
        <w:spacing w:after="0" w:line="240" w:lineRule="auto"/>
        <w:jc w:val="both"/>
        <w:rPr>
          <w:rFonts w:asciiTheme="majorBidi" w:hAnsiTheme="majorBidi" w:cstheme="majorBidi"/>
          <w:sz w:val="32"/>
          <w:szCs w:val="32"/>
          <w:lang w:val="en-US"/>
        </w:rPr>
      </w:pPr>
      <w:r w:rsidRPr="00E11F21">
        <w:rPr>
          <w:rFonts w:asciiTheme="majorBidi" w:hAnsiTheme="majorBidi" w:cstheme="majorBidi"/>
          <w:sz w:val="32"/>
          <w:szCs w:val="32"/>
          <w:lang w:val="en-US"/>
        </w:rPr>
        <w:t xml:space="preserve">Hence our interest in studying this tool, to understand its real application through the study of real case studies (POS), the way how they are treated and the research of the factors leading to its complete or partial non-materialization. Solutions are to </w:t>
      </w:r>
      <w:proofErr w:type="gramStart"/>
      <w:r w:rsidRPr="00E11F21">
        <w:rPr>
          <w:rFonts w:asciiTheme="majorBidi" w:hAnsiTheme="majorBidi" w:cstheme="majorBidi"/>
          <w:sz w:val="32"/>
          <w:szCs w:val="32"/>
          <w:lang w:val="en-US"/>
        </w:rPr>
        <w:t>be proposed</w:t>
      </w:r>
      <w:proofErr w:type="gramEnd"/>
      <w:r w:rsidRPr="00E11F21">
        <w:rPr>
          <w:rFonts w:asciiTheme="majorBidi" w:hAnsiTheme="majorBidi" w:cstheme="majorBidi"/>
          <w:sz w:val="32"/>
          <w:szCs w:val="32"/>
          <w:lang w:val="en-US"/>
        </w:rPr>
        <w:t xml:space="preserve"> –according to our opinion- capable to end even partially the disrespect of the contents of the approved plans. </w:t>
      </w:r>
    </w:p>
    <w:p w:rsidR="00B9155A" w:rsidRPr="00E11F21" w:rsidRDefault="00B9155A" w:rsidP="00B9155A">
      <w:pPr>
        <w:spacing w:after="0" w:line="240" w:lineRule="auto"/>
        <w:jc w:val="both"/>
        <w:rPr>
          <w:rFonts w:asciiTheme="majorBidi" w:hAnsiTheme="majorBidi" w:cstheme="majorBidi"/>
          <w:b/>
          <w:bCs/>
          <w:sz w:val="32"/>
          <w:szCs w:val="32"/>
          <w:lang w:val="en-US"/>
        </w:rPr>
      </w:pPr>
    </w:p>
    <w:p w:rsidR="00B9155A" w:rsidRPr="00E11F21" w:rsidRDefault="00B9155A" w:rsidP="00B9155A">
      <w:pPr>
        <w:spacing w:after="0" w:line="240" w:lineRule="auto"/>
        <w:jc w:val="both"/>
        <w:rPr>
          <w:rFonts w:asciiTheme="majorBidi" w:hAnsiTheme="majorBidi" w:cstheme="majorBidi"/>
          <w:b/>
          <w:bCs/>
          <w:sz w:val="32"/>
          <w:szCs w:val="32"/>
          <w:lang w:val="en-US"/>
        </w:rPr>
      </w:pPr>
      <w:r w:rsidRPr="00E11F21">
        <w:rPr>
          <w:rFonts w:asciiTheme="majorBidi" w:hAnsiTheme="majorBidi" w:cstheme="majorBidi"/>
          <w:b/>
          <w:bCs/>
          <w:sz w:val="32"/>
          <w:szCs w:val="32"/>
          <w:lang w:val="en-US"/>
        </w:rPr>
        <w:t>Keywords: Urbanization, Urban space, Urban development, Planning instruments, Urban planning</w:t>
      </w:r>
    </w:p>
    <w:p w:rsidR="00B9155A" w:rsidRPr="00E11F21" w:rsidRDefault="00B9155A" w:rsidP="00B9155A">
      <w:pPr>
        <w:bidi/>
        <w:spacing w:after="0" w:line="240" w:lineRule="auto"/>
        <w:jc w:val="both"/>
        <w:rPr>
          <w:sz w:val="36"/>
          <w:szCs w:val="36"/>
          <w:lang w:val="en-US"/>
        </w:rPr>
      </w:pPr>
    </w:p>
    <w:p w:rsidR="00B9155A" w:rsidRPr="00E11F21" w:rsidRDefault="00B9155A" w:rsidP="00B9155A">
      <w:pPr>
        <w:bidi/>
        <w:spacing w:after="0" w:line="240" w:lineRule="auto"/>
        <w:jc w:val="both"/>
        <w:rPr>
          <w:sz w:val="36"/>
          <w:szCs w:val="36"/>
        </w:rPr>
      </w:pPr>
    </w:p>
    <w:p w:rsidR="00B9155A" w:rsidRPr="00E11F21" w:rsidRDefault="00B9155A" w:rsidP="00B9155A">
      <w:pPr>
        <w:bidi/>
        <w:spacing w:after="0" w:line="240" w:lineRule="auto"/>
        <w:jc w:val="both"/>
        <w:rPr>
          <w:sz w:val="36"/>
          <w:szCs w:val="36"/>
        </w:rPr>
      </w:pPr>
    </w:p>
    <w:p w:rsidR="001A2052" w:rsidRPr="00E11F21" w:rsidRDefault="001A2052">
      <w:pPr>
        <w:rPr>
          <w:sz w:val="36"/>
          <w:szCs w:val="36"/>
        </w:rPr>
      </w:pPr>
    </w:p>
    <w:sectPr w:rsidR="001A2052" w:rsidRPr="00E11F21" w:rsidSect="00AE72CC">
      <w:footerReference w:type="default" r:id="rId7"/>
      <w:pgSz w:w="11906" w:h="16838"/>
      <w:pgMar w:top="851" w:right="1134" w:bottom="993" w:left="1134" w:header="709" w:footer="567" w:gutter="567"/>
      <w:pgNumType w:start="113"/>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4F6" w:rsidRDefault="00BF54F6">
      <w:pPr>
        <w:spacing w:after="0" w:line="240" w:lineRule="auto"/>
      </w:pPr>
      <w:r>
        <w:separator/>
      </w:r>
    </w:p>
  </w:endnote>
  <w:endnote w:type="continuationSeparator" w:id="0">
    <w:p w:rsidR="00BF54F6" w:rsidRDefault="00BF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045504"/>
      <w:docPartObj>
        <w:docPartGallery w:val="Page Numbers (Bottom of Page)"/>
        <w:docPartUnique/>
      </w:docPartObj>
    </w:sdtPr>
    <w:sdtEndPr/>
    <w:sdtContent>
      <w:p w:rsidR="004E1B74" w:rsidRDefault="00BF54F6">
        <w:pPr>
          <w:pStyle w:val="Pieddepage"/>
          <w:jc w:val="center"/>
        </w:pPr>
      </w:p>
      <w:p w:rsidR="004E1B74" w:rsidRDefault="00BF54F6">
        <w:pPr>
          <w:pStyle w:val="Pieddepage"/>
          <w:jc w:val="center"/>
        </w:pPr>
      </w:p>
    </w:sdtContent>
  </w:sdt>
  <w:p w:rsidR="004E1B74" w:rsidRDefault="00BF54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4F6" w:rsidRDefault="00BF54F6">
      <w:pPr>
        <w:spacing w:after="0" w:line="240" w:lineRule="auto"/>
      </w:pPr>
      <w:r>
        <w:separator/>
      </w:r>
    </w:p>
  </w:footnote>
  <w:footnote w:type="continuationSeparator" w:id="0">
    <w:p w:rsidR="00BF54F6" w:rsidRDefault="00BF54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F4511"/>
    <w:rsid w:val="001A2052"/>
    <w:rsid w:val="003209E4"/>
    <w:rsid w:val="005F4511"/>
    <w:rsid w:val="00A560FC"/>
    <w:rsid w:val="00AE72CC"/>
    <w:rsid w:val="00B85C1A"/>
    <w:rsid w:val="00B9155A"/>
    <w:rsid w:val="00BF54F6"/>
    <w:rsid w:val="00D6568E"/>
    <w:rsid w:val="00E11F2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FBD0D-7C14-4293-A484-23F099FE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B9155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9155A"/>
  </w:style>
  <w:style w:type="paragraph" w:styleId="Textedebulles">
    <w:name w:val="Balloon Text"/>
    <w:basedOn w:val="Normal"/>
    <w:link w:val="TextedebullesCar"/>
    <w:uiPriority w:val="99"/>
    <w:semiHidden/>
    <w:unhideWhenUsed/>
    <w:rsid w:val="00AE72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7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C5E2D-55DA-44A1-BDA2-E704D971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813</Words>
  <Characters>4473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SOUAD</dc:creator>
  <cp:keywords/>
  <dc:description/>
  <cp:lastModifiedBy>SOUAD</cp:lastModifiedBy>
  <cp:revision>4</cp:revision>
  <cp:lastPrinted>2016-01-21T06:56:00Z</cp:lastPrinted>
  <dcterms:created xsi:type="dcterms:W3CDTF">2015-12-26T18:53:00Z</dcterms:created>
  <dcterms:modified xsi:type="dcterms:W3CDTF">2016-01-21T06:58:00Z</dcterms:modified>
</cp:coreProperties>
</file>