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3" w:rsidRPr="00A47A61" w:rsidRDefault="00E724B3" w:rsidP="00E72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47A6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8- </w:t>
      </w:r>
      <w:r w:rsidR="005B5C33" w:rsidRPr="00A47A6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Conclusion et perspectives</w:t>
      </w:r>
    </w:p>
    <w:p w:rsidR="005B5C33" w:rsidRPr="00A47A61" w:rsidRDefault="005B5C33" w:rsidP="00745E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</w:pP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Dans cette étude, une caractérisation </w:t>
      </w:r>
      <w:r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 vitro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 </w:t>
      </w:r>
      <w:r w:rsidR="00D01645"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situ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souches de</w:t>
      </w:r>
      <w:r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Bacillus</w:t>
      </w:r>
      <w:r w:rsidR="00290333"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90333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290333"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Paenibacillus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isolées à partir de </w:t>
      </w:r>
      <w:r w:rsidR="00667B8F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divers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environnements de l’Est d’Algérie a été effectuée, dans le but sélectionner </w:t>
      </w:r>
      <w:r w:rsidR="00667B8F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des souches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B8F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 pourrons être 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efficace</w:t>
      </w:r>
      <w:r w:rsidR="00F95FF6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la gestion des productions agricoles.</w:t>
      </w:r>
      <w:r w:rsidR="00D2136F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Les résultats </w:t>
      </w:r>
      <w:r w:rsidR="00667B8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d’identification moléculaire 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des souches à activité antifongique sélectionnées, 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ont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montré q</w:t>
      </w:r>
      <w:r w:rsidR="00667B8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ue 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ces </w:t>
      </w:r>
      <w:r w:rsidR="00F95FF6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dernières</w:t>
      </w:r>
      <w:r w:rsidR="00667B8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sont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étroitement </w:t>
      </w:r>
      <w:r w:rsidR="00240219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liées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au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B</w:t>
      </w:r>
      <w:r w:rsidR="00667B8F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acillus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amyloliquefaciens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B.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D01645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subtilis </w:t>
      </w:r>
      <w:r w:rsidR="00D016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sub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sp</w:t>
      </w:r>
      <w:r w:rsidR="00D01645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.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spizezenii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atrophaeus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mojavensis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B. velezensis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et 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P</w:t>
      </w:r>
      <w:r w:rsidR="00667B8F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>aenibacillus</w:t>
      </w:r>
      <w:r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polymyxa.</w:t>
      </w:r>
      <w:r w:rsidR="00D2136F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="00433EF2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La plupart des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souches bactériennes sélectionnées </w:t>
      </w:r>
      <w:r w:rsid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ont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la capacité 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de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produire </w:t>
      </w:r>
      <w:r w:rsidR="00F95FF6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es enzymes dégradant les parois cellulaires (</w:t>
      </w:r>
      <w:r w:rsidR="00842EEE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Cellulase</w:t>
      </w:r>
      <w:r w:rsidR="00D016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et</w:t>
      </w:r>
      <w:r w:rsidR="00842EEE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P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rotéase), </w:t>
      </w:r>
      <w:r w:rsidR="00F95FF6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es lipopeptides (surfactines, iturines et fengycines conventionnelles), </w:t>
      </w:r>
      <w:r w:rsidR="00F95FF6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d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es siderophores et </w:t>
      </w:r>
      <w:r w:rsidR="00F95FF6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de 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l’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indole 3</w:t>
      </w:r>
      <w:r w:rsidR="006E587F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95FF6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acide acétique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IAA</w:t>
      </w:r>
      <w:r w:rsidR="006E587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).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433EF2" w:rsidRP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N</w:t>
      </w:r>
      <w:r w:rsidR="006E587F" w:rsidRP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éanmoins, </w:t>
      </w:r>
      <w:r w:rsidR="00433EF2" w:rsidRP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quelques particularités </w:t>
      </w:r>
      <w:r w:rsidR="00240219" w:rsidRP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sont</w:t>
      </w:r>
      <w:r w:rsidR="00433EF2" w:rsidRP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observées. En effet, </w:t>
      </w:r>
      <w:r w:rsidR="00433EF2" w:rsidRPr="00240219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33EF2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mojavensis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(9SEL) et</w:t>
      </w:r>
      <w:r w:rsidR="00433EF2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33EF2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P. polymyxa 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(18SRTS) ne produi</w:t>
      </w:r>
      <w:r w:rsidR="00240219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aucune famille des LPs et le </w:t>
      </w:r>
      <w:r w:rsidR="00433EF2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atrophaeus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(6SEL) </w:t>
      </w:r>
      <w:r w:rsidR="00240219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433EF2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seul isolat de produire de la chitinase. Par ailleurs,</w:t>
      </w:r>
      <w:r w:rsidR="00433EF2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6E587F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les souches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240219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de </w:t>
      </w:r>
      <w:r w:rsidR="00240219" w:rsidRPr="00240219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B. amyloliquefaciens</w:t>
      </w:r>
      <w:r w:rsidR="00240219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isolées </w:t>
      </w:r>
      <w:r w:rsidR="006E587F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à partir 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du lac salé et de la source </w:t>
      </w:r>
      <w:r w:rsidR="006E587F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thermale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240219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ont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la propriété de produire une large gamme de fengycines, comprenant de nouveaux types qui n’ont jamais été décrits dans la littérature</w:t>
      </w:r>
      <w:r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. </w:t>
      </w:r>
      <w:r w:rsidR="006E587F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En effet, l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e </w:t>
      </w:r>
      <w:r w:rsidRPr="00A47A61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>B.</w:t>
      </w:r>
      <w:r w:rsidR="00E17A8D" w:rsidRPr="00A47A61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b/>
          <w:bCs/>
          <w:i/>
          <w:color w:val="000000" w:themeColor="text1"/>
          <w:sz w:val="24"/>
          <w:szCs w:val="24"/>
        </w:rPr>
        <w:t xml:space="preserve">amyloliquefaciens </w:t>
      </w:r>
      <w:r w:rsidR="006E587F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(ET)</w:t>
      </w:r>
      <w:r w:rsidR="00774AF9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842EEE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isolé du lac salé</w:t>
      </w:r>
      <w:r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,</w:t>
      </w:r>
      <w:r w:rsidR="00842EEE" w:rsidRPr="00A47A61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 xml:space="preserve"> </w:t>
      </w:r>
      <w:r w:rsidR="00E17A8D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produisait </w:t>
      </w:r>
      <w:r w:rsidR="0055316B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de </w:t>
      </w:r>
      <w:r w:rsidR="00AC21AF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nouveaux homologues</w:t>
      </w:r>
      <w:r w:rsidR="0055316B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 de fengycine A et B, ayant des chaines d’acides gras à 20 et </w:t>
      </w:r>
      <w:r w:rsidR="00842EEE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 xml:space="preserve">à </w:t>
      </w:r>
      <w:r w:rsidR="0055316B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18 atomes de carbones, respectivement</w:t>
      </w:r>
      <w:r w:rsidR="00B82871" w:rsidRPr="00A47A6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fr-FR"/>
        </w:rPr>
        <w:t>, en plus des</w:t>
      </w:r>
      <w:r w:rsidR="0055316B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EC1028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deux </w:t>
      </w:r>
      <w:r w:rsidR="00EC1028" w:rsidRPr="00240219">
        <w:rPr>
          <w:rFonts w:asciiTheme="majorBidi" w:hAnsiTheme="majorBidi" w:cstheme="majorBidi"/>
          <w:b/>
          <w:color w:val="000000" w:themeColor="text1"/>
          <w:sz w:val="24"/>
          <w:szCs w:val="24"/>
        </w:rPr>
        <w:t>nouvelles variantes</w:t>
      </w:r>
      <w:r w:rsidR="00EC1028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de fengycines </w:t>
      </w:r>
      <w:r w:rsidR="00AC21AF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>(</w:t>
      </w:r>
      <w:r w:rsidR="00EC1028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>fengycine X et Y</w:t>
      </w:r>
      <w:r w:rsidR="00AC21AF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>)</w:t>
      </w:r>
      <w:r w:rsidR="00956B07" w:rsidRPr="00A47A6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à cycles peptidiques dont la composition diffère de ceux des fengycines conventionnelles</w:t>
      </w:r>
      <w:r w:rsidR="00AC21A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. </w:t>
      </w:r>
      <w:r w:rsidR="00B21CB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Il est à noter que l</w:t>
      </w:r>
      <w:r w:rsidR="00CA2E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 genre influen</w:t>
      </w:r>
      <w:r w:rsid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ce</w:t>
      </w:r>
      <w:r w:rsidR="00CA2E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la capacité des souches bactérienne</w:t>
      </w:r>
      <w:r w:rsidR="00B21CBF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s</w:t>
      </w:r>
      <w:r w:rsidR="00CA2E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à se sporuler dans les conditions de fiole non optimalisée. En effet, les taux de sporulation chez les membres du groupe </w:t>
      </w:r>
      <w:r w:rsidR="00CA2E45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Bacillus subtilis </w:t>
      </w:r>
      <w:r w:rsidR="00240219">
        <w:rPr>
          <w:rFonts w:asciiTheme="majorBidi" w:hAnsiTheme="majorBidi" w:cstheme="majorBidi"/>
          <w:iCs/>
          <w:color w:val="000000" w:themeColor="text1"/>
          <w:sz w:val="24"/>
          <w:szCs w:val="24"/>
        </w:rPr>
        <w:t>vari</w:t>
      </w:r>
      <w:r w:rsidR="00CA2E45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ent entre</w:t>
      </w:r>
      <w:r w:rsidR="00CA2E45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2.2x10</w:t>
      </w:r>
      <w:r w:rsidR="00CA2E45" w:rsidRPr="00A47A6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9</w:t>
      </w:r>
      <w:r w:rsidR="00CA2E45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2.7x10</w:t>
      </w:r>
      <w:r w:rsidR="00CA2E45" w:rsidRPr="00A47A6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 xml:space="preserve">9 </w:t>
      </w:r>
      <w:r w:rsidR="00CA2E45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spores/ ml alors </w:t>
      </w:r>
      <w:r w:rsidR="00CE7A61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774AF9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E7A61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 sporulation chez  </w:t>
      </w:r>
      <w:r w:rsidR="00CE7A61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P.</w:t>
      </w:r>
      <w:r w:rsidR="00395548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CE7A61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polymyxa</w:t>
      </w:r>
      <w:r w:rsidR="00CE7A61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n’</w:t>
      </w:r>
      <w:r w:rsidR="00240219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CE7A61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pas satisfaisante.</w:t>
      </w:r>
      <w:r w:rsidR="00D2136F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tests réalisés </w:t>
      </w:r>
      <w:r w:rsidR="00395548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in situ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des conditions de pots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en plein champs sur le pois chiche </w:t>
      </w:r>
      <w:r w:rsidR="00240219">
        <w:rPr>
          <w:rFonts w:asciiTheme="majorBidi" w:hAnsiTheme="majorBidi" w:cstheme="majorBidi"/>
          <w:color w:val="000000" w:themeColor="text1"/>
          <w:sz w:val="24"/>
          <w:szCs w:val="24"/>
        </w:rPr>
        <w:t>montrent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que l’efficacité des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souches de </w:t>
      </w:r>
      <w:r w:rsidR="00395548"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testées,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dépend du type de traitement, </w:t>
      </w:r>
      <w:r w:rsidR="00842EEE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variété de pois chiche et </w:t>
      </w:r>
      <w:r w:rsidR="00774AF9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l’identité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la souche </w:t>
      </w:r>
      <w:r w:rsidR="00395548" w:rsidRPr="00745E4E">
        <w:rPr>
          <w:rFonts w:asciiTheme="majorBidi" w:hAnsiTheme="majorBidi" w:cstheme="majorBidi"/>
          <w:color w:val="000000" w:themeColor="text1"/>
          <w:sz w:val="24"/>
          <w:szCs w:val="24"/>
        </w:rPr>
        <w:t>bactérienne</w:t>
      </w:r>
      <w:r w:rsidRPr="00745E4E">
        <w:rPr>
          <w:rFonts w:asciiTheme="majorBidi" w:hAnsiTheme="majorBidi" w:cstheme="majorBidi"/>
          <w:color w:val="000000" w:themeColor="text1"/>
          <w:sz w:val="24"/>
          <w:szCs w:val="24"/>
        </w:rPr>
        <w:t>. En fait, les meilleurs effets</w:t>
      </w:r>
      <w:r w:rsidR="00395548" w:rsidRPr="00745E4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sur </w:t>
      </w:r>
      <w:r w:rsidRPr="00745E4E">
        <w:rPr>
          <w:rFonts w:asciiTheme="majorBidi" w:hAnsiTheme="majorBidi" w:cstheme="majorBidi"/>
          <w:color w:val="000000" w:themeColor="text1"/>
          <w:sz w:val="24"/>
          <w:szCs w:val="24"/>
        </w:rPr>
        <w:t>le taux de germination, la taille des plantes, la diminution de la gravité de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 maladie causée par </w:t>
      </w:r>
      <w:r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Sclerotonia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i/>
          <w:iCs/>
          <w:color w:val="000000" w:themeColor="text1"/>
        </w:rPr>
        <w:t>sclerotium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le rendement de la production, </w:t>
      </w:r>
      <w:r w:rsidR="00745E4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365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constatés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dans le lot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où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B21CBF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graines de pois chiche «</w:t>
      </w:r>
      <w:r w:rsidR="00395548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variété : </w:t>
      </w:r>
      <w:r w:rsidR="00395548"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cv. </w:t>
      </w:r>
      <w:r w:rsidR="00395548" w:rsidRPr="00A47A6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Mega grain tradind CO. (P): Kabuli</w:t>
      </w:r>
      <w:r w:rsidR="00223658" w:rsidRPr="00A47A6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»</w:t>
      </w:r>
      <w:r w:rsidR="00395548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="00745E4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sont </w:t>
      </w:r>
      <w:r w:rsidR="00395548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semées dans du sol </w:t>
      </w:r>
      <w:r w:rsidR="00395548" w:rsidRPr="00A47A6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395548" w:rsidRPr="00A47A6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inoculé par</w:t>
      </w:r>
      <w:r w:rsidR="00395548" w:rsidRPr="00A47A6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A47A6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B.amyloliquefaciens </w:t>
      </w:r>
      <w:r w:rsidRPr="00A47A6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9SRTS)</w:t>
      </w:r>
      <w:r w:rsidR="00395548" w:rsidRPr="00A47A6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:rsidR="00502E1F" w:rsidRPr="00A47A61" w:rsidRDefault="00502E1F" w:rsidP="005B5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36F" w:rsidRPr="00A47A61" w:rsidRDefault="00D2136F" w:rsidP="005B5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C33" w:rsidRPr="00A47A61" w:rsidRDefault="005B5C33" w:rsidP="00350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Que ce soit au niveau fondamental ou appliqué, de la compréhension du phénom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ène d’interaction plantes-microorganism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es, de nombreuses perspectives découlent de 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cette recherche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fait, des études plus approfondies sur les mécanismes 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biochimiques, 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moléculaires et ph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ysiologiques qu’exercent les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bactéries 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sélectionnées (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genre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s :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2C1"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Bacillus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="008532C1" w:rsidRPr="00A47A6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Paenibacillus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 les plantes, sont nécessaires pour améliorer nos connaissances dans </w:t>
      </w:r>
      <w:r w:rsidR="00EE47C4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ce domaine qui reste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toujours </w:t>
      </w:r>
      <w:r w:rsidR="005656AD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sous-évalué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. Par ailleurs, d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’un point de vue appliqué, n</w:t>
      </w:r>
      <w:r w:rsidR="00A43669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ous ne disposons pas encore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d’informations</w:t>
      </w:r>
      <w:r w:rsidR="00A43669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suffisantes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pour concevoir une utilisation efficace</w:t>
      </w:r>
      <w:r w:rsidR="00350DA2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rationnée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ces bactéries, en tant que biopesticides. </w:t>
      </w:r>
      <w:r w:rsidR="00350DA2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De ce fait, p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lus</w:t>
      </w:r>
      <w:r w:rsidR="00350DA2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>ieurs expériences complémentaires doivent être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réalisées, en l’occurrence, 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élargir le spectre des plantes hôtes et des pathogènes ; déterminer  la dose minimale effectrice du produit et de suivre sa viabilité à longs termes lors du stockage et au niveau du sol inoculé ; tester </w:t>
      </w:r>
      <w:r w:rsidR="008532C1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r w:rsidR="00777886"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souches bactériennes </w:t>
      </w:r>
      <w:r w:rsidRPr="00A47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dans des phénomènes inductibles autres que ceux liés aux maladies biotiques, comme la résistance à des stress hydriques, salins ou des blessures et leurs interactions avec les autres techniques culturales de l’agriculture intégrée.  </w:t>
      </w:r>
      <w:bookmarkStart w:id="0" w:name="_GoBack"/>
      <w:bookmarkEnd w:id="0"/>
    </w:p>
    <w:p w:rsidR="005B5C33" w:rsidRPr="00A47A61" w:rsidRDefault="005B5C33" w:rsidP="005B5C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C33" w:rsidRPr="00A47A61" w:rsidRDefault="005B5C33" w:rsidP="005B5C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C33" w:rsidRPr="00A47A61" w:rsidRDefault="005B5C33" w:rsidP="005B5C33">
      <w:pPr>
        <w:rPr>
          <w:color w:val="000000" w:themeColor="text1"/>
        </w:rPr>
      </w:pPr>
    </w:p>
    <w:p w:rsidR="004F73C2" w:rsidRPr="00A47A61" w:rsidRDefault="004F73C2">
      <w:pPr>
        <w:rPr>
          <w:color w:val="000000" w:themeColor="text1"/>
        </w:rPr>
      </w:pPr>
    </w:p>
    <w:sectPr w:rsidR="004F73C2" w:rsidRPr="00A47A61" w:rsidSect="006647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25" w:rsidRDefault="00546A25" w:rsidP="005B5C33">
      <w:pPr>
        <w:spacing w:after="0" w:line="240" w:lineRule="auto"/>
      </w:pPr>
      <w:r>
        <w:separator/>
      </w:r>
    </w:p>
  </w:endnote>
  <w:endnote w:type="continuationSeparator" w:id="0">
    <w:p w:rsidR="00546A25" w:rsidRDefault="00546A25" w:rsidP="005B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37"/>
      <w:docPartObj>
        <w:docPartGallery w:val="Page Numbers (Bottom of Page)"/>
        <w:docPartUnique/>
      </w:docPartObj>
    </w:sdtPr>
    <w:sdtContent>
      <w:p w:rsidR="00E85D93" w:rsidRDefault="00297574">
        <w:pPr>
          <w:pStyle w:val="Pieddepage"/>
          <w:jc w:val="center"/>
        </w:pPr>
        <w:fldSimple w:instr=" PAGE   \* MERGEFORMAT ">
          <w:r w:rsidR="0066475B">
            <w:rPr>
              <w:noProof/>
            </w:rPr>
            <w:t>79</w:t>
          </w:r>
        </w:fldSimple>
      </w:p>
    </w:sdtContent>
  </w:sdt>
  <w:p w:rsidR="003270C1" w:rsidRDefault="003270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25" w:rsidRDefault="00546A25" w:rsidP="005B5C33">
      <w:pPr>
        <w:spacing w:after="0" w:line="240" w:lineRule="auto"/>
      </w:pPr>
      <w:r>
        <w:separator/>
      </w:r>
    </w:p>
  </w:footnote>
  <w:footnote w:type="continuationSeparator" w:id="0">
    <w:p w:rsidR="00546A25" w:rsidRDefault="00546A25" w:rsidP="005B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2"/>
    </w:tblGrid>
    <w:tr w:rsidR="003270C1" w:rsidTr="005B5C33">
      <w:trPr>
        <w:trHeight w:val="403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6AE6E56D8095421FB2308BCB5BE404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359" w:type="dxa"/>
            </w:tcPr>
            <w:p w:rsidR="003270C1" w:rsidRDefault="003270C1" w:rsidP="005B5C33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B5C33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CONCLUSION ET PERSPECTIVES</w:t>
              </w:r>
            </w:p>
          </w:tc>
        </w:sdtContent>
      </w:sdt>
    </w:tr>
  </w:tbl>
  <w:p w:rsidR="003270C1" w:rsidRDefault="003270C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C33"/>
    <w:rsid w:val="00046927"/>
    <w:rsid w:val="001A5218"/>
    <w:rsid w:val="00223658"/>
    <w:rsid w:val="00240219"/>
    <w:rsid w:val="00281878"/>
    <w:rsid w:val="00290333"/>
    <w:rsid w:val="00293214"/>
    <w:rsid w:val="00297574"/>
    <w:rsid w:val="003270C1"/>
    <w:rsid w:val="00350DA2"/>
    <w:rsid w:val="00395548"/>
    <w:rsid w:val="0043022F"/>
    <w:rsid w:val="00433EF2"/>
    <w:rsid w:val="00462746"/>
    <w:rsid w:val="004D3E59"/>
    <w:rsid w:val="004E16A2"/>
    <w:rsid w:val="004F73C2"/>
    <w:rsid w:val="00502E1F"/>
    <w:rsid w:val="00534953"/>
    <w:rsid w:val="00546A25"/>
    <w:rsid w:val="0055316B"/>
    <w:rsid w:val="005656AD"/>
    <w:rsid w:val="00591483"/>
    <w:rsid w:val="005B5C33"/>
    <w:rsid w:val="005D7F7D"/>
    <w:rsid w:val="0066475B"/>
    <w:rsid w:val="00667B8F"/>
    <w:rsid w:val="00691B53"/>
    <w:rsid w:val="006E587F"/>
    <w:rsid w:val="00710076"/>
    <w:rsid w:val="00745E4E"/>
    <w:rsid w:val="00774AF9"/>
    <w:rsid w:val="00777886"/>
    <w:rsid w:val="008355A1"/>
    <w:rsid w:val="00842EEE"/>
    <w:rsid w:val="008478E2"/>
    <w:rsid w:val="008532C1"/>
    <w:rsid w:val="008C381F"/>
    <w:rsid w:val="009366EF"/>
    <w:rsid w:val="00954A06"/>
    <w:rsid w:val="00956B07"/>
    <w:rsid w:val="009B10CC"/>
    <w:rsid w:val="009B15AE"/>
    <w:rsid w:val="00A141F4"/>
    <w:rsid w:val="00A43669"/>
    <w:rsid w:val="00A47A61"/>
    <w:rsid w:val="00AC21AF"/>
    <w:rsid w:val="00AF6AE0"/>
    <w:rsid w:val="00B21CBF"/>
    <w:rsid w:val="00B82871"/>
    <w:rsid w:val="00C906C1"/>
    <w:rsid w:val="00CA2E45"/>
    <w:rsid w:val="00CC3D10"/>
    <w:rsid w:val="00CE7A61"/>
    <w:rsid w:val="00D00DD5"/>
    <w:rsid w:val="00D01645"/>
    <w:rsid w:val="00D2136F"/>
    <w:rsid w:val="00D419E0"/>
    <w:rsid w:val="00DA5D10"/>
    <w:rsid w:val="00E17A8D"/>
    <w:rsid w:val="00E724B3"/>
    <w:rsid w:val="00E73C51"/>
    <w:rsid w:val="00E85D93"/>
    <w:rsid w:val="00EC1028"/>
    <w:rsid w:val="00EE47C4"/>
    <w:rsid w:val="00F04984"/>
    <w:rsid w:val="00F17FB1"/>
    <w:rsid w:val="00F9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C33"/>
    <w:rPr>
      <w:rFonts w:eastAsiaTheme="minorEastAsia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C33"/>
    <w:rPr>
      <w:rFonts w:eastAsiaTheme="minorEastAsia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5B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C33"/>
    <w:rPr>
      <w:rFonts w:eastAsiaTheme="minorEastAsia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C33"/>
    <w:rPr>
      <w:rFonts w:ascii="Tahoma" w:eastAsiaTheme="minorEastAsia" w:hAnsi="Tahoma" w:cs="Tahoma"/>
      <w:sz w:val="16"/>
      <w:szCs w:val="16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E6E56D8095421FB2308BCB5BE40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6BD9D-E0CE-4A16-8266-EBC84F637FF7}"/>
      </w:docPartPr>
      <w:docPartBody>
        <w:p w:rsidR="00603B58" w:rsidRDefault="00E5450A" w:rsidP="00E5450A">
          <w:pPr>
            <w:pStyle w:val="6AE6E56D8095421FB2308BCB5BE404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E5450A"/>
    <w:rsid w:val="000A1198"/>
    <w:rsid w:val="00225334"/>
    <w:rsid w:val="002F0063"/>
    <w:rsid w:val="00317ADA"/>
    <w:rsid w:val="00603B58"/>
    <w:rsid w:val="006F5671"/>
    <w:rsid w:val="0086706E"/>
    <w:rsid w:val="00892FDE"/>
    <w:rsid w:val="00B06A7E"/>
    <w:rsid w:val="00C52F6E"/>
    <w:rsid w:val="00CC3B2C"/>
    <w:rsid w:val="00DA3D48"/>
    <w:rsid w:val="00E5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AE6E56D8095421FB2308BCB5BE40416">
    <w:name w:val="6AE6E56D8095421FB2308BCB5BE40416"/>
    <w:rsid w:val="00E545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CONCLUSION ET PERSPECTIVES</vt:lpstr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 ET PERSPECTIVES</dc:title>
  <dc:creator>Asma</dc:creator>
  <cp:lastModifiedBy>Asma</cp:lastModifiedBy>
  <cp:revision>33</cp:revision>
  <dcterms:created xsi:type="dcterms:W3CDTF">2014-02-13T13:48:00Z</dcterms:created>
  <dcterms:modified xsi:type="dcterms:W3CDTF">2014-03-19T19:54:00Z</dcterms:modified>
</cp:coreProperties>
</file>