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D9" w:rsidRPr="007E5B70" w:rsidRDefault="008D682D" w:rsidP="007E5B70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Introduction générale </w:t>
      </w:r>
    </w:p>
    <w:p w:rsidR="000C5DA7" w:rsidRDefault="00FC56D9" w:rsidP="00791A41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L’arrêt de l’activité humaine liée à la vie nomade</w:t>
      </w:r>
      <w:r w:rsidR="00690F7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où l’homme vivait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de la chasse, </w:t>
      </w:r>
      <w:r w:rsidR="00690F7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 la cueillette et de la pêche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="00690F7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et l’apparition des premiers foyers d’agricultures, coï</w:t>
      </w:r>
      <w:r w:rsidR="008F45F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ncidaient avec la  naissance du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néolithique, il y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4E7D5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10 000 ans.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À cette époque, la terre ne comptait </w:t>
      </w:r>
      <w:r w:rsidRPr="00B03D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qu’environ 5 millions d’êtres humains </w:t>
      </w:r>
      <w:r w:rsidRPr="00B03D2B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(</w:t>
      </w:r>
      <w:proofErr w:type="spellStart"/>
      <w:r w:rsidRPr="00B03D2B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Mazoyer</w:t>
      </w:r>
      <w:proofErr w:type="spellEnd"/>
      <w:r w:rsidRPr="00B03D2B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, 2011)</w:t>
      </w:r>
      <w:r w:rsidRPr="00B03D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Au cours des millénaires et avec l’expansion continue de la population mondiale, l’agriculture a connu une forte intensification</w:t>
      </w:r>
      <w:r w:rsidR="004E7D5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dans le monde industrialisé,</w:t>
      </w:r>
      <w:r w:rsidR="00C12312" w:rsidRPr="00C1231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C12312"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u</w:t>
      </w:r>
      <w:r w:rsidR="00C12312" w:rsidRPr="00B03D2B">
        <w:rPr>
          <w:rFonts w:asciiTheme="majorBidi" w:hAnsiTheme="majorBidi" w:cstheme="majorBidi"/>
          <w:color w:val="000000" w:themeColor="text1"/>
          <w:sz w:val="24"/>
          <w:szCs w:val="24"/>
        </w:rPr>
        <w:t>n peu avant la seconde guerre mondiale</w:t>
      </w:r>
      <w:r w:rsidR="004E7D5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puis,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4E7D5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ix à vingt ans </w:t>
      </w:r>
      <w:r w:rsidR="00C1231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plus tard,</w:t>
      </w:r>
      <w:r w:rsidR="00B955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4E7D5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dans</w:t>
      </w:r>
      <w:r w:rsidR="008F45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les pays en développement</w:t>
      </w:r>
      <w:r w:rsidR="00B955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,</w:t>
      </w:r>
      <w:r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donnant ainsi naissance à « La révolution verte ». 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Cette révolution agricole s’est caractérisée par l’adoption </w:t>
      </w:r>
      <w:r w:rsidR="00032593"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des méthodes permettant d'économiser la main-d’œuvre</w:t>
      </w:r>
      <w:r w:rsidR="004E7D5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et 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par l’usage des</w:t>
      </w:r>
      <w:r w:rsidR="00032593" w:rsidRP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032593"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organismes 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notamment </w:t>
      </w:r>
      <w:r w:rsidR="00032593" w:rsidRPr="00B03D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génétiquement modifiés (OGM) 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et des produits chimiques de fertilisation </w:t>
      </w:r>
      <w:r w:rsidR="00B955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(fertilisants) 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et de protection</w:t>
      </w:r>
      <w:r w:rsidR="00B955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0325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des plantes contre les ravageurs </w:t>
      </w:r>
      <w:r w:rsidR="00B955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des cultures agricoles (pesticides)  </w:t>
      </w:r>
      <w:r w:rsidR="00032593" w:rsidRPr="00B03D2B">
        <w:rPr>
          <w:rFonts w:asciiTheme="majorBidi" w:hAnsiTheme="majorBidi" w:cstheme="majorBidi"/>
          <w:color w:val="000000" w:themeColor="text1"/>
          <w:sz w:val="24"/>
          <w:szCs w:val="24"/>
        </w:rPr>
        <w:t>(Griffon, 2006).</w:t>
      </w:r>
      <w:r w:rsidR="00B955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L’utilisation intensive </w:t>
      </w:r>
      <w:r w:rsidR="00B955D0">
        <w:rPr>
          <w:rFonts w:asciiTheme="majorBidi" w:hAnsiTheme="majorBidi" w:cstheme="majorBidi"/>
          <w:color w:val="000000" w:themeColor="text1"/>
          <w:sz w:val="24"/>
          <w:szCs w:val="24"/>
        </w:rPr>
        <w:t>de ces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produits chimiques a provoqué </w:t>
      </w:r>
      <w:r w:rsidR="00BA10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graves conséquences sur l’environnement et la santé de l’homme </w:t>
      </w:r>
      <w:r w:rsidR="00BA100A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(Carson et Rachel, 1962).</w:t>
      </w:r>
      <w:r w:rsidR="00BA100A" w:rsidRPr="00BA10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0C5DA7" w:rsidRDefault="00FC42B4" w:rsidP="000C5DA7">
      <w:pPr>
        <w:spacing w:line="360" w:lineRule="auto"/>
        <w:jc w:val="both"/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contr</w:t>
      </w:r>
      <w:r w:rsidR="00BA100A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ôle </w:t>
      </w:r>
      <w:r w:rsidR="00BA10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d’usage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="00BA10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produits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phytosanitaires </w:t>
      </w:r>
      <w:r w:rsidR="00BA100A">
        <w:rPr>
          <w:rFonts w:asciiTheme="majorBidi" w:hAnsiTheme="majorBidi" w:cstheme="majorBidi"/>
          <w:color w:val="000000" w:themeColor="text1"/>
          <w:sz w:val="24"/>
          <w:szCs w:val="24"/>
        </w:rPr>
        <w:t>chimiques reste toujours limité dans tous les pays du monde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ce problème est plus accentué  dans les pays sous développés</w:t>
      </w:r>
      <w:r w:rsidRPr="00FC42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Goldenman</w:t>
      </w:r>
      <w:proofErr w:type="spellEnd"/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proofErr w:type="spellStart"/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PozoVera</w:t>
      </w:r>
      <w:proofErr w:type="spellEnd"/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, 2008)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Le monde donc face à cette situation</w:t>
      </w:r>
      <w:r w:rsidR="0079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 adopté des politiques agraires alternatives, parmi lesquelles, on note l’agriculture intégrée et l’agriculture biologique. 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gestion intégrée (IPM, 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integrated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pest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management) des cultures implique l’adoption des techniques respectueuse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l’environnement qui vise à minimiser l’usage des produits chimique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. En revanche, la production biologique</w:t>
      </w:r>
      <w:r w:rsidR="00FC56D9" w:rsidRPr="007C3694">
        <w:rPr>
          <w:rStyle w:val="hps"/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FC56D9" w:rsidRPr="007C3694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exclut l’utilisation des produits phytosanitaire</w:t>
      </w:r>
      <w:r w:rsidR="00FC56D9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s</w:t>
      </w:r>
      <w:r w:rsidR="00FC56D9" w:rsidRPr="007C3694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chimiques. Dans ce type d’agriculture</w:t>
      </w:r>
      <w:r w:rsidR="00FC56D9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,</w:t>
      </w:r>
      <w:r w:rsidR="00FC56D9" w:rsidRPr="007C3694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on utilise des produits </w:t>
      </w:r>
      <w:r w:rsidR="00632EF1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phytosanitaires naturels dits : </w:t>
      </w:r>
      <w:r w:rsidR="00FC56D9" w:rsidRPr="007C3694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Biopesticides</w:t>
      </w:r>
      <w:r w:rsidR="00FC56D9" w:rsidRPr="007C3694">
        <w:rPr>
          <w:rStyle w:val="CitationHTML"/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="00FC56D9" w:rsidRPr="007C3694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(COLEACP, 2011).</w:t>
      </w:r>
      <w:r w:rsidR="00A33ABC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2F5EF1" w:rsidRDefault="004877FA" w:rsidP="000C5DA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Il existe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eux types de biopesticides 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>sur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marché,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en l’</w:t>
      </w:r>
      <w:r w:rsidR="002F5EF1">
        <w:rPr>
          <w:rFonts w:asciiTheme="majorBidi" w:hAnsiTheme="majorBidi" w:cstheme="majorBidi"/>
          <w:color w:val="000000" w:themeColor="text1"/>
          <w:sz w:val="24"/>
          <w:szCs w:val="24"/>
        </w:rPr>
        <w:t>occurrence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: les pesticides biochimiques</w:t>
      </w:r>
      <w:r w:rsidR="002F5E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qui</w:t>
      </w:r>
      <w:r w:rsidR="002F5EF1" w:rsidRPr="002F5E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F5EF1">
        <w:rPr>
          <w:rFonts w:asciiTheme="majorBidi" w:hAnsiTheme="majorBidi" w:cstheme="majorBidi"/>
          <w:color w:val="000000" w:themeColor="text1"/>
          <w:sz w:val="24"/>
          <w:szCs w:val="24"/>
        </w:rPr>
        <w:t>sont des</w:t>
      </w:r>
      <w:r w:rsidR="002F5EF1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substances d’origine naturelle et/ou des molécules synthétiques qui leur ressemblent (</w:t>
      </w:r>
      <w:proofErr w:type="spellStart"/>
      <w:r w:rsidR="002F5EF1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Thakor</w:t>
      </w:r>
      <w:proofErr w:type="spellEnd"/>
      <w:r w:rsidR="002F5EF1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, 2006)</w:t>
      </w:r>
      <w:r w:rsidR="002F5E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pesticides microbiens </w:t>
      </w:r>
      <w:r w:rsidR="002F5E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qui 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contiennent </w:t>
      </w:r>
      <w:r w:rsidR="002F5EF1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microorganismes bénéfiques, tels que les bactéries, les champignons, les levures, les virus ou les protozoaires</w:t>
      </w:r>
      <w:r w:rsidR="000C5DA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comme matière active (BIA, 2013). </w:t>
      </w:r>
    </w:p>
    <w:p w:rsidR="00FC56D9" w:rsidRPr="007C3694" w:rsidRDefault="002F5EF1" w:rsidP="000C5D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Les biopesticides bactériens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représentent la majorité des biopesticides microbiens (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Shoresh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et </w:t>
      </w:r>
      <w:proofErr w:type="gramStart"/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al.,</w:t>
      </w:r>
      <w:proofErr w:type="gram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les bactéries du 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genre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Bacillus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sont les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plus étudié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la recherche scientifique et le plus 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>exploité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agriculture. En effet, le US Food and Drug Administration 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(USFDA) a confirmé que toutes les espèces du groupe 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 subtil</w:t>
      </w:r>
      <w:r w:rsidR="00FC56D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sont non pathogène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l’homme. En </w:t>
      </w:r>
      <w:r w:rsidR="000C5DA7">
        <w:rPr>
          <w:rFonts w:asciiTheme="majorBidi" w:hAnsiTheme="majorBidi" w:cstheme="majorBidi"/>
          <w:color w:val="000000" w:themeColor="text1"/>
          <w:sz w:val="24"/>
          <w:szCs w:val="24"/>
        </w:rPr>
        <w:t>outre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le genre 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possède la possibilité de sporuler dans des conditions défavorables ce qui facilite sa production industrielle et sa formul</w:t>
      </w:r>
      <w:r w:rsidR="000C5DA7">
        <w:rPr>
          <w:rFonts w:asciiTheme="majorBidi" w:hAnsiTheme="majorBidi" w:cstheme="majorBidi"/>
          <w:color w:val="000000" w:themeColor="text1"/>
          <w:sz w:val="24"/>
          <w:szCs w:val="24"/>
        </w:rPr>
        <w:t>ation en un produit stable (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Lolloo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et </w:t>
      </w:r>
      <w:proofErr w:type="gramStart"/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al.,</w:t>
      </w:r>
      <w:proofErr w:type="gram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2010). </w:t>
      </w:r>
      <w:r w:rsidR="000C5DA7">
        <w:rPr>
          <w:rFonts w:asciiTheme="majorBidi" w:hAnsiTheme="majorBidi" w:cstheme="majorBidi"/>
          <w:color w:val="000000" w:themeColor="text1"/>
          <w:sz w:val="24"/>
          <w:szCs w:val="24"/>
        </w:rPr>
        <w:t>Par ailleurs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le genre </w:t>
      </w:r>
      <w:r w:rsidR="00FC56D9"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la capacité d’échapper au phénomène de résistance des ravageurs car il 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développe plusieurs mécanismes de biocontrôle, de biofertilisation et de phytostimulation comme la plupart des PGPRs (plant 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growth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promoting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rhizobacteria</w:t>
      </w:r>
      <w:proofErr w:type="spellEnd"/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FC56D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C56D9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augmenter le rendement des cultures agricoles. </w:t>
      </w:r>
    </w:p>
    <w:p w:rsidR="00FC56D9" w:rsidRDefault="00FC56D9" w:rsidP="00A418E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L’objectif de cette thèse est de caractériser les souches de bactéries du genre </w:t>
      </w:r>
      <w:r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Bacillus,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isolées de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divers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environnements de l’Est d’Algérie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, à savoir :</w:t>
      </w:r>
      <w:r w:rsidR="00AC193D" w:rsidRP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l’eau du lac salé d’ Ain M’lila et la rhizosphere d’une plante située à sa proximité ; l’eau de source thermale d’Oued El </w:t>
      </w:r>
      <w:proofErr w:type="spellStart"/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>Athmanya</w:t>
      </w:r>
      <w:proofErr w:type="spellEnd"/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sol situé à sa proximité ; et enfin de la rhizosphere de la plante </w:t>
      </w:r>
      <w:r w:rsidR="00AC193D" w:rsidRPr="005F0EC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Calendula officinalis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cultivée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serre dans la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région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Seti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 (Est 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>Algérie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AC193D" w:rsidRPr="005F0EC3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le but de les utiliser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comme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agents de biocontrôle (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biopesticides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, en agriculture. Pour cela, une synthèse des principales informations relatives à l’agriculture biologique et au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x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biopesticides en général et au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x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biopesticides à base de </w:t>
      </w:r>
      <w:r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particulier, a été effectuée (revue bibliographique). La première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partie de l’étude expérimentale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repose sur l’isolement et la purification des bactéries du genre </w:t>
      </w:r>
      <w:r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la technique du choc thermique, puis le screening des isolats possédant une activité antifongique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vis à vis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certaines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moisissures phytopathogènes. La deuxième par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tie repose sur l’identification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moléculaire des souches sélectionnées et la caractérisation de leur capacité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produire</w:t>
      </w:r>
      <w:r w:rsidR="00AC193D" w:rsidRP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418EF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es enzymes hydrolytiques (cellulase, protéase et chitinase),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418EF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lipopeptides 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 compris </w:t>
      </w:r>
      <w:r w:rsidR="00B1538D">
        <w:rPr>
          <w:rFonts w:asciiTheme="majorBidi" w:hAnsiTheme="majorBidi" w:cstheme="majorBidi"/>
          <w:color w:val="000000" w:themeColor="text1"/>
          <w:sz w:val="24"/>
          <w:szCs w:val="24"/>
        </w:rPr>
        <w:t>l’identification</w:t>
      </w:r>
      <w:r w:rsidR="00B1538D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1538D">
        <w:rPr>
          <w:rFonts w:asciiTheme="majorBidi" w:hAnsiTheme="majorBidi" w:cstheme="majorBidi"/>
          <w:color w:val="000000" w:themeColor="text1"/>
          <w:sz w:val="24"/>
          <w:szCs w:val="24"/>
        </w:rPr>
        <w:t>de nouvelles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variantes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fengycines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détecté</w:t>
      </w:r>
      <w:r w:rsidR="00AC193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s, </w:t>
      </w:r>
      <w:r w:rsidR="00A418E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="007E2851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phytohormone </w:t>
      </w:r>
      <w:proofErr w:type="spellStart"/>
      <w:r w:rsidR="007E2851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indol</w:t>
      </w:r>
      <w:proofErr w:type="spellEnd"/>
      <w:r w:rsidR="007E2851"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-3 acide acétique</w:t>
      </w:r>
      <w:r w:rsidR="007E28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(IAA) et </w:t>
      </w:r>
      <w:r w:rsidR="00A418EF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siderophores. La troisième partie est </w:t>
      </w:r>
      <w:r w:rsidR="00A418EF">
        <w:rPr>
          <w:rFonts w:asciiTheme="majorBidi" w:hAnsiTheme="majorBidi" w:cstheme="majorBidi"/>
          <w:color w:val="000000" w:themeColor="text1"/>
          <w:sz w:val="24"/>
          <w:szCs w:val="24"/>
        </w:rPr>
        <w:t>consacrée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418EF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 production </w:t>
      </w:r>
      <w:r w:rsidR="00066871">
        <w:rPr>
          <w:rFonts w:asciiTheme="majorBidi" w:hAnsiTheme="majorBidi" w:cstheme="majorBidi"/>
          <w:color w:val="000000" w:themeColor="text1"/>
          <w:sz w:val="24"/>
          <w:szCs w:val="24"/>
        </w:rPr>
        <w:t>de certaines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souches de </w:t>
      </w:r>
      <w:r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Bacillus, 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à l’échelle industrielle dans un bioréacteur de 500</w:t>
      </w:r>
      <w:r w:rsidR="00066871">
        <w:rPr>
          <w:rFonts w:asciiTheme="majorBidi" w:hAnsiTheme="majorBidi" w:cstheme="majorBidi"/>
          <w:color w:val="000000" w:themeColor="text1"/>
          <w:sz w:val="24"/>
          <w:szCs w:val="24"/>
        </w:rPr>
        <w:t> L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, à l’unité de production « </w:t>
      </w:r>
      <w:proofErr w:type="spellStart"/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Artechno</w:t>
      </w:r>
      <w:proofErr w:type="spellEnd"/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>-Liège</w:t>
      </w:r>
      <w:r w:rsidR="00066871">
        <w:rPr>
          <w:rFonts w:asciiTheme="majorBidi" w:hAnsiTheme="majorBidi" w:cstheme="majorBidi"/>
          <w:color w:val="000000" w:themeColor="text1"/>
          <w:sz w:val="24"/>
          <w:szCs w:val="24"/>
        </w:rPr>
        <w:t> » en Belgique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 Enfin, les biopesticides à base de </w:t>
      </w:r>
      <w:r w:rsidRPr="007C36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produits, ont été testés pour leurs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effets de biocontrôle</w:t>
      </w:r>
      <w:r w:rsidR="000668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de phytostimulation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6871">
        <w:rPr>
          <w:rFonts w:asciiTheme="majorBidi" w:hAnsiTheme="majorBidi" w:cstheme="majorBidi"/>
          <w:color w:val="000000" w:themeColor="text1"/>
          <w:sz w:val="24"/>
          <w:szCs w:val="24"/>
        </w:rPr>
        <w:t>sur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production de deux variétés de pois chiche en serre et en plein champ</w:t>
      </w:r>
      <w:bookmarkStart w:id="0" w:name="_GoBack"/>
      <w:bookmarkEnd w:id="0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FC56D9" w:rsidRPr="007C3694" w:rsidRDefault="00FC56D9" w:rsidP="00FC56D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C3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B34463" w:rsidRDefault="00B34463"/>
    <w:sectPr w:rsidR="00B34463" w:rsidSect="001D33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F7" w:rsidRDefault="00BB55F7" w:rsidP="00FC56D9">
      <w:pPr>
        <w:spacing w:after="0" w:line="240" w:lineRule="auto"/>
      </w:pPr>
      <w:r>
        <w:separator/>
      </w:r>
    </w:p>
  </w:endnote>
  <w:endnote w:type="continuationSeparator" w:id="0">
    <w:p w:rsidR="00BB55F7" w:rsidRDefault="00BB55F7" w:rsidP="00FC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30"/>
      <w:docPartObj>
        <w:docPartGallery w:val="Page Numbers (Bottom of Page)"/>
        <w:docPartUnique/>
      </w:docPartObj>
    </w:sdtPr>
    <w:sdtContent>
      <w:p w:rsidR="00AE4DAC" w:rsidRDefault="00AE4DAC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67A48" w:rsidRDefault="00BB55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F7" w:rsidRDefault="00BB55F7" w:rsidP="00FC56D9">
      <w:pPr>
        <w:spacing w:after="0" w:line="240" w:lineRule="auto"/>
      </w:pPr>
      <w:r>
        <w:separator/>
      </w:r>
    </w:p>
  </w:footnote>
  <w:footnote w:type="continuationSeparator" w:id="0">
    <w:p w:rsidR="00BB55F7" w:rsidRDefault="00BB55F7" w:rsidP="00FC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2"/>
    </w:tblGrid>
    <w:tr w:rsidR="00AD2D92" w:rsidTr="00AD2D92">
      <w:trPr>
        <w:trHeight w:val="378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EBFADEE9397349A09677589B11EC47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347" w:type="dxa"/>
            </w:tcPr>
            <w:p w:rsidR="00AD2D92" w:rsidRDefault="00AD2D92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  <w:lang w:val="fr-FR"/>
                </w:rPr>
                <w:t xml:space="preserve">INTRODUCTION </w:t>
              </w:r>
              <w:r w:rsidRPr="00AD2D92"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  <w:lang w:val="fr-FR"/>
                </w:rPr>
                <w:t>GENERALE</w:t>
              </w:r>
            </w:p>
          </w:tc>
        </w:sdtContent>
      </w:sdt>
    </w:tr>
  </w:tbl>
  <w:p w:rsidR="00AD2D92" w:rsidRPr="00AD2D92" w:rsidRDefault="00AD2D92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523"/>
    <w:multiLevelType w:val="hybridMultilevel"/>
    <w:tmpl w:val="63621B72"/>
    <w:lvl w:ilvl="0" w:tplc="E2B60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6D9"/>
    <w:rsid w:val="00032593"/>
    <w:rsid w:val="00066871"/>
    <w:rsid w:val="000B6F42"/>
    <w:rsid w:val="000C5DA7"/>
    <w:rsid w:val="000F6C9A"/>
    <w:rsid w:val="002F5EF1"/>
    <w:rsid w:val="003631C4"/>
    <w:rsid w:val="004877FA"/>
    <w:rsid w:val="004E7D5B"/>
    <w:rsid w:val="00632964"/>
    <w:rsid w:val="00632EF1"/>
    <w:rsid w:val="00645E08"/>
    <w:rsid w:val="00690F7F"/>
    <w:rsid w:val="00791A41"/>
    <w:rsid w:val="007E2851"/>
    <w:rsid w:val="007E5B70"/>
    <w:rsid w:val="00851726"/>
    <w:rsid w:val="008D682D"/>
    <w:rsid w:val="008F45F7"/>
    <w:rsid w:val="00935589"/>
    <w:rsid w:val="009D3792"/>
    <w:rsid w:val="00A33ABC"/>
    <w:rsid w:val="00A418EF"/>
    <w:rsid w:val="00AC193D"/>
    <w:rsid w:val="00AD2D92"/>
    <w:rsid w:val="00AE4DAC"/>
    <w:rsid w:val="00AE63CE"/>
    <w:rsid w:val="00B1538D"/>
    <w:rsid w:val="00B34463"/>
    <w:rsid w:val="00B44795"/>
    <w:rsid w:val="00B955D0"/>
    <w:rsid w:val="00BA100A"/>
    <w:rsid w:val="00BB55F7"/>
    <w:rsid w:val="00C12312"/>
    <w:rsid w:val="00C81C08"/>
    <w:rsid w:val="00CF02A3"/>
    <w:rsid w:val="00E52CE5"/>
    <w:rsid w:val="00E61345"/>
    <w:rsid w:val="00F11F5C"/>
    <w:rsid w:val="00F96339"/>
    <w:rsid w:val="00FC42B4"/>
    <w:rsid w:val="00FC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D9"/>
    <w:rPr>
      <w:rFonts w:eastAsiaTheme="minorEastAsia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56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56D9"/>
    <w:pPr>
      <w:ind w:left="720"/>
      <w:contextualSpacing/>
    </w:pPr>
  </w:style>
  <w:style w:type="character" w:customStyle="1" w:styleId="hps">
    <w:name w:val="hps"/>
    <w:basedOn w:val="Policepardfaut"/>
    <w:rsid w:val="00FC56D9"/>
  </w:style>
  <w:style w:type="character" w:styleId="CitationHTML">
    <w:name w:val="HTML Cite"/>
    <w:basedOn w:val="Policepardfaut"/>
    <w:uiPriority w:val="99"/>
    <w:semiHidden/>
    <w:unhideWhenUsed/>
    <w:rsid w:val="00FC56D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C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6D9"/>
    <w:rPr>
      <w:rFonts w:eastAsiaTheme="minorEastAsia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FC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6D9"/>
    <w:rPr>
      <w:rFonts w:eastAsiaTheme="minorEastAsia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6D9"/>
    <w:rPr>
      <w:rFonts w:ascii="Tahoma" w:eastAsiaTheme="minorEastAsia" w:hAnsi="Tahoma" w:cs="Tahoma"/>
      <w:sz w:val="16"/>
      <w:szCs w:val="16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FADEE9397349A09677589B11EC4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A3AEE-5CDC-437B-A022-59E29EA7AED3}"/>
      </w:docPartPr>
      <w:docPartBody>
        <w:p w:rsidR="0087424C" w:rsidRDefault="00DB2E72" w:rsidP="00DB2E72">
          <w:pPr>
            <w:pStyle w:val="EBFADEE9397349A09677589B11EC47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87185B"/>
    <w:rsid w:val="00091E35"/>
    <w:rsid w:val="002A336E"/>
    <w:rsid w:val="0087185B"/>
    <w:rsid w:val="0087424C"/>
    <w:rsid w:val="008C29D2"/>
    <w:rsid w:val="00DA63D2"/>
    <w:rsid w:val="00DB2E72"/>
    <w:rsid w:val="00DB45E6"/>
    <w:rsid w:val="00E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CA3C868E5A84764AE84DC90F04EA87A">
    <w:name w:val="7CA3C868E5A84764AE84DC90F04EA87A"/>
    <w:rsid w:val="0087185B"/>
  </w:style>
  <w:style w:type="paragraph" w:customStyle="1" w:styleId="6E5988B726974DE39199F2B1180B725C">
    <w:name w:val="6E5988B726974DE39199F2B1180B725C"/>
    <w:rsid w:val="00DB2E72"/>
  </w:style>
  <w:style w:type="paragraph" w:customStyle="1" w:styleId="5DBB75949D3645BD8081A524E57ACCDB">
    <w:name w:val="5DBB75949D3645BD8081A524E57ACCDB"/>
    <w:rsid w:val="00DB2E72"/>
  </w:style>
  <w:style w:type="paragraph" w:customStyle="1" w:styleId="EBFADEE9397349A09677589B11EC477A">
    <w:name w:val="EBFADEE9397349A09677589B11EC477A"/>
    <w:rsid w:val="00DB2E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 GENERAL</vt:lpstr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GENERALE</dc:title>
  <dc:creator>Asma</dc:creator>
  <cp:lastModifiedBy>Asma</cp:lastModifiedBy>
  <cp:revision>5</cp:revision>
  <dcterms:created xsi:type="dcterms:W3CDTF">2014-03-02T19:17:00Z</dcterms:created>
  <dcterms:modified xsi:type="dcterms:W3CDTF">2014-03-14T18:58:00Z</dcterms:modified>
</cp:coreProperties>
</file>