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C26" w:rsidRPr="00E30870" w:rsidRDefault="00534C26" w:rsidP="00534C26">
      <w:pPr>
        <w:rPr>
          <w:rFonts w:asciiTheme="majorBidi" w:hAnsiTheme="majorBidi" w:cstheme="majorBidi"/>
          <w:b/>
          <w:bCs/>
          <w:color w:val="000000" w:themeColor="text1"/>
          <w:sz w:val="32"/>
          <w:szCs w:val="24"/>
        </w:rPr>
      </w:pPr>
      <w:r w:rsidRPr="00E30870">
        <w:rPr>
          <w:rFonts w:asciiTheme="majorBidi" w:hAnsiTheme="majorBidi" w:cstheme="majorBidi"/>
          <w:b/>
          <w:bCs/>
          <w:color w:val="000000" w:themeColor="text1"/>
          <w:sz w:val="32"/>
          <w:szCs w:val="24"/>
        </w:rPr>
        <w:t>2- Revue bibliographique</w:t>
      </w:r>
    </w:p>
    <w:p w:rsidR="00534C26" w:rsidRPr="00E30870" w:rsidRDefault="00534C26" w:rsidP="00534C26">
      <w:pPr>
        <w:rPr>
          <w:rFonts w:asciiTheme="majorBidi" w:hAnsiTheme="majorBidi" w:cstheme="majorBidi"/>
          <w:b/>
          <w:bCs/>
          <w:color w:val="000000" w:themeColor="text1"/>
          <w:sz w:val="28"/>
          <w:szCs w:val="28"/>
        </w:rPr>
      </w:pPr>
      <w:r w:rsidRPr="00E30870">
        <w:rPr>
          <w:rFonts w:asciiTheme="majorBidi" w:hAnsiTheme="majorBidi" w:cstheme="majorBidi"/>
          <w:b/>
          <w:bCs/>
          <w:color w:val="000000" w:themeColor="text1"/>
          <w:sz w:val="28"/>
          <w:szCs w:val="28"/>
        </w:rPr>
        <w:t xml:space="preserve">2.1-Aperçu </w:t>
      </w:r>
      <w:r w:rsidR="009C5367" w:rsidRPr="00E30870">
        <w:rPr>
          <w:rFonts w:asciiTheme="majorBidi" w:hAnsiTheme="majorBidi" w:cstheme="majorBidi"/>
          <w:b/>
          <w:bCs/>
          <w:color w:val="000000" w:themeColor="text1"/>
          <w:sz w:val="28"/>
          <w:szCs w:val="28"/>
        </w:rPr>
        <w:t>sur l’agriculture dans le monde</w:t>
      </w:r>
      <w:r w:rsidRPr="00E30870">
        <w:rPr>
          <w:rFonts w:asciiTheme="majorBidi" w:hAnsiTheme="majorBidi" w:cstheme="majorBidi"/>
          <w:b/>
          <w:bCs/>
          <w:color w:val="000000" w:themeColor="text1"/>
          <w:sz w:val="28"/>
          <w:szCs w:val="28"/>
        </w:rPr>
        <w:t>: Bref historique</w:t>
      </w:r>
    </w:p>
    <w:p w:rsidR="00534C26" w:rsidRPr="00E30870" w:rsidRDefault="00534C26" w:rsidP="00534C26">
      <w:pPr>
        <w:spacing w:line="360" w:lineRule="auto"/>
        <w:jc w:val="both"/>
        <w:rPr>
          <w:rFonts w:asciiTheme="majorBidi" w:eastAsia="Times New Roman" w:hAnsiTheme="majorBidi" w:cstheme="majorBidi"/>
          <w:color w:val="000000" w:themeColor="text1"/>
          <w:sz w:val="24"/>
          <w:szCs w:val="24"/>
          <w:lang w:val="fr-BE" w:eastAsia="fr-BE"/>
        </w:rPr>
      </w:pPr>
      <w:r w:rsidRPr="00E30870">
        <w:rPr>
          <w:rFonts w:asciiTheme="majorBidi" w:hAnsiTheme="majorBidi" w:cstheme="majorBidi"/>
          <w:color w:val="000000" w:themeColor="text1"/>
          <w:sz w:val="24"/>
          <w:szCs w:val="24"/>
        </w:rPr>
        <w:t xml:space="preserve">Il y a 10 000 ans, </w:t>
      </w:r>
      <w:r w:rsidRPr="00E30870">
        <w:rPr>
          <w:rFonts w:asciiTheme="majorBidi" w:eastAsia="Times New Roman" w:hAnsiTheme="majorBidi" w:cstheme="majorBidi"/>
          <w:color w:val="000000" w:themeColor="text1"/>
          <w:sz w:val="24"/>
          <w:szCs w:val="24"/>
          <w:lang w:val="fr-BE" w:eastAsia="fr-BE"/>
        </w:rPr>
        <w:t xml:space="preserve">une révolution  éclata à l’échelle planétaire donnant naissance au néolithique (nouvel âge de la pierre) marquant ainsi une grande étape de notre histoire. Cette révolution s’accompagna par </w:t>
      </w:r>
      <w:r w:rsidRPr="00E30870">
        <w:rPr>
          <w:rFonts w:asciiTheme="majorBidi" w:eastAsia="Times New Roman" w:hAnsiTheme="majorBidi" w:cstheme="majorBidi"/>
          <w:color w:val="000000"/>
          <w:sz w:val="24"/>
          <w:szCs w:val="24"/>
        </w:rPr>
        <w:t>une modification du mode de vie passant de</w:t>
      </w:r>
      <w:r w:rsidRPr="00E30870">
        <w:rPr>
          <w:rFonts w:asciiTheme="majorBidi" w:eastAsia="Times New Roman" w:hAnsiTheme="majorBidi" w:cstheme="majorBidi"/>
          <w:color w:val="000000" w:themeColor="text1"/>
          <w:sz w:val="24"/>
          <w:szCs w:val="24"/>
          <w:lang w:val="fr-BE" w:eastAsia="fr-BE"/>
        </w:rPr>
        <w:t xml:space="preserve"> nomade vivant de la chasse, de la cueillette et de la pêche à l’apparition des premières structures agricoles (figure1).</w:t>
      </w:r>
      <w:r w:rsidRPr="00E30870">
        <w:rPr>
          <w:rFonts w:asciiTheme="majorBidi" w:hAnsiTheme="majorBidi" w:cstheme="majorBidi"/>
          <w:color w:val="000000" w:themeColor="text1"/>
          <w:sz w:val="24"/>
          <w:szCs w:val="24"/>
        </w:rPr>
        <w:t xml:space="preserve"> La terre ne comptait alors qu’environ 5 millions d’êtres humains.  Cette révolution néolithique coïncidait également avec l’apparition des</w:t>
      </w:r>
      <w:r w:rsidRPr="00E30870">
        <w:rPr>
          <w:rFonts w:asciiTheme="majorBidi" w:eastAsia="Times New Roman" w:hAnsiTheme="majorBidi" w:cstheme="majorBidi"/>
          <w:color w:val="000000" w:themeColor="text1"/>
          <w:sz w:val="24"/>
          <w:szCs w:val="24"/>
          <w:lang w:val="fr-BE" w:eastAsia="fr-BE"/>
        </w:rPr>
        <w:t xml:space="preserve"> grandes forêts de feuillus et de conifères. L’homme engage la domestication des animaux et la culture des plantes. Les premières cultures de plantes et les premiers élevages d’animaux apparaissent au </w:t>
      </w:r>
      <w:r w:rsidRPr="00E30870">
        <w:rPr>
          <w:rFonts w:asciiTheme="majorBidi" w:hAnsiTheme="majorBidi" w:cstheme="majorBidi"/>
          <w:color w:val="000000" w:themeColor="text1"/>
          <w:sz w:val="24"/>
          <w:szCs w:val="24"/>
        </w:rPr>
        <w:t xml:space="preserve">Proche-Orient, en Chine du Nord, au Mexique, au Pérou et en  </w:t>
      </w:r>
      <w:r w:rsidRPr="00E30870">
        <w:rPr>
          <w:rFonts w:asciiTheme="majorBidi" w:hAnsiTheme="majorBidi" w:cstheme="majorBidi"/>
          <w:bCs/>
          <w:color w:val="000000" w:themeColor="text1"/>
          <w:sz w:val="24"/>
          <w:szCs w:val="24"/>
        </w:rPr>
        <w:t>Papouasie-</w:t>
      </w:r>
      <w:r w:rsidRPr="00E30870">
        <w:rPr>
          <w:rFonts w:asciiTheme="majorBidi" w:hAnsiTheme="majorBidi" w:cstheme="majorBidi"/>
          <w:color w:val="000000" w:themeColor="text1"/>
          <w:sz w:val="24"/>
          <w:szCs w:val="24"/>
        </w:rPr>
        <w:t>Nouvelle-Guinée</w:t>
      </w:r>
      <w:r w:rsidRPr="00E30870">
        <w:rPr>
          <w:rFonts w:asciiTheme="majorBidi" w:hAnsiTheme="majorBidi" w:cstheme="majorBidi"/>
          <w:color w:val="000000" w:themeColor="text1"/>
          <w:kern w:val="36"/>
          <w:sz w:val="24"/>
          <w:szCs w:val="24"/>
        </w:rPr>
        <w:t xml:space="preserve">. </w:t>
      </w:r>
      <w:r w:rsidRPr="00E30870">
        <w:rPr>
          <w:rFonts w:asciiTheme="majorBidi" w:hAnsiTheme="majorBidi" w:cstheme="majorBidi"/>
          <w:color w:val="000000" w:themeColor="text1"/>
          <w:sz w:val="24"/>
          <w:szCs w:val="24"/>
        </w:rPr>
        <w:t xml:space="preserve">Cinq mille ans plus tard, la population mondiale avait été multipliée par dix. Sur les 50 millions  terriens,  nonante pour cent étaient des agriculteurs vivant désormais des fruits de la culture et de l’élevage, dont la pratique s’était généralisée. </w:t>
      </w:r>
    </w:p>
    <w:p w:rsidR="00534C26" w:rsidRPr="00E30870" w:rsidRDefault="00534C26" w:rsidP="00534C26">
      <w:pPr>
        <w:spacing w:line="360" w:lineRule="auto"/>
        <w:jc w:val="both"/>
        <w:rPr>
          <w:rFonts w:asciiTheme="majorBidi" w:eastAsia="Times New Roman" w:hAnsiTheme="majorBidi" w:cstheme="majorBidi"/>
          <w:color w:val="000000" w:themeColor="text1"/>
          <w:sz w:val="24"/>
          <w:szCs w:val="24"/>
          <w:lang w:eastAsia="fr-FR"/>
        </w:rPr>
      </w:pPr>
      <w:r w:rsidRPr="00E30870">
        <w:rPr>
          <w:rFonts w:asciiTheme="majorBidi" w:eastAsia="Times New Roman" w:hAnsiTheme="majorBidi" w:cstheme="majorBidi"/>
          <w:color w:val="000000" w:themeColor="text1"/>
          <w:sz w:val="24"/>
          <w:szCs w:val="24"/>
          <w:lang w:eastAsia="fr-FR"/>
        </w:rPr>
        <w:t xml:space="preserve">Au cours des millénaires, les paysans se sont engagés à sélectionner et à cultiver des espèces végétales présentant un rendement plus élevé et une meilleure résistance à la sécheresse et aux maladies; ils ont construit des terrasses sur les versants des collines afin de conserver les sols et des canaux pour assurer la distribution de l'eau à travers leurs champs; ils ont remplacé la houe manuelle par la charrue tirée par des bœufs et se sont mis à utiliser le fumier animal comme engrais et le soufre contre les ravageurs </w:t>
      </w:r>
      <w:r w:rsidRPr="00E30870">
        <w:rPr>
          <w:rFonts w:asciiTheme="majorBidi" w:hAnsiTheme="majorBidi" w:cstheme="majorBidi"/>
          <w:color w:val="000000" w:themeColor="text1"/>
          <w:kern w:val="36"/>
          <w:sz w:val="24"/>
          <w:szCs w:val="24"/>
        </w:rPr>
        <w:t>(</w:t>
      </w:r>
      <w:proofErr w:type="spellStart"/>
      <w:r w:rsidRPr="00E30870">
        <w:rPr>
          <w:rFonts w:asciiTheme="majorBidi" w:hAnsiTheme="majorBidi" w:cstheme="majorBidi"/>
          <w:color w:val="000000" w:themeColor="text1"/>
          <w:kern w:val="36"/>
          <w:sz w:val="24"/>
          <w:szCs w:val="24"/>
        </w:rPr>
        <w:t>Mazoyer</w:t>
      </w:r>
      <w:proofErr w:type="spellEnd"/>
      <w:r w:rsidRPr="00E30870">
        <w:rPr>
          <w:rFonts w:asciiTheme="majorBidi" w:hAnsiTheme="majorBidi" w:cstheme="majorBidi"/>
          <w:color w:val="000000" w:themeColor="text1"/>
          <w:kern w:val="36"/>
          <w:sz w:val="24"/>
          <w:szCs w:val="24"/>
        </w:rPr>
        <w:t>, 2011)</w:t>
      </w:r>
      <w:r w:rsidRPr="00E30870">
        <w:rPr>
          <w:rFonts w:asciiTheme="majorBidi" w:hAnsiTheme="majorBidi" w:cstheme="majorBidi"/>
          <w:color w:val="000000" w:themeColor="text1"/>
          <w:sz w:val="24"/>
          <w:szCs w:val="24"/>
        </w:rPr>
        <w:t>.</w:t>
      </w:r>
      <w:r w:rsidRPr="00E30870">
        <w:rPr>
          <w:rFonts w:asciiTheme="majorBidi" w:eastAsia="Times New Roman" w:hAnsiTheme="majorBidi" w:cstheme="majorBidi"/>
          <w:color w:val="000000" w:themeColor="text1"/>
          <w:sz w:val="24"/>
          <w:szCs w:val="24"/>
          <w:lang w:eastAsia="fr-FR"/>
        </w:rPr>
        <w:t xml:space="preserve"> </w:t>
      </w:r>
    </w:p>
    <w:p w:rsidR="00534C26" w:rsidRPr="00E30870" w:rsidRDefault="00534C26" w:rsidP="00534C26">
      <w:pPr>
        <w:spacing w:line="360" w:lineRule="auto"/>
        <w:jc w:val="both"/>
        <w:rPr>
          <w:rFonts w:asciiTheme="majorBidi" w:hAnsiTheme="majorBidi" w:cstheme="majorBidi"/>
          <w:color w:val="000000" w:themeColor="text1"/>
          <w:sz w:val="24"/>
          <w:szCs w:val="24"/>
        </w:rPr>
      </w:pPr>
      <w:r w:rsidRPr="00E30870">
        <w:rPr>
          <w:rFonts w:asciiTheme="majorBidi" w:eastAsia="Times New Roman" w:hAnsiTheme="majorBidi" w:cstheme="majorBidi"/>
          <w:color w:val="000000" w:themeColor="text1"/>
          <w:sz w:val="24"/>
          <w:szCs w:val="24"/>
          <w:lang w:eastAsia="fr-FR"/>
        </w:rPr>
        <w:t>U</w:t>
      </w:r>
      <w:r w:rsidRPr="00E30870">
        <w:rPr>
          <w:rFonts w:asciiTheme="majorBidi" w:hAnsiTheme="majorBidi" w:cstheme="majorBidi"/>
          <w:color w:val="000000" w:themeColor="text1"/>
          <w:sz w:val="24"/>
          <w:szCs w:val="24"/>
        </w:rPr>
        <w:t>n peu avant la seconde guerre mondiale et</w:t>
      </w:r>
      <w:r w:rsidRPr="00E30870">
        <w:rPr>
          <w:rFonts w:asciiTheme="majorBidi" w:eastAsia="Times New Roman" w:hAnsiTheme="majorBidi" w:cstheme="majorBidi"/>
          <w:color w:val="000000" w:themeColor="text1"/>
          <w:sz w:val="24"/>
          <w:szCs w:val="24"/>
          <w:lang w:eastAsia="fr-FR"/>
        </w:rPr>
        <w:t xml:space="preserve"> avec l’expansion continue de la population mondiale, l’agriculture a connu une forte intensification, d’abord dans le monde industrialisé puis, dix à vingt ans plus tard, dans les pays en développem</w:t>
      </w:r>
      <w:r w:rsidR="007443DF" w:rsidRPr="00E30870">
        <w:rPr>
          <w:rFonts w:asciiTheme="majorBidi" w:eastAsia="Times New Roman" w:hAnsiTheme="majorBidi" w:cstheme="majorBidi"/>
          <w:color w:val="000000" w:themeColor="text1"/>
          <w:sz w:val="24"/>
          <w:szCs w:val="24"/>
          <w:lang w:eastAsia="fr-FR"/>
        </w:rPr>
        <w:t>ent donnant ainsi naissance à «</w:t>
      </w:r>
      <w:r w:rsidRPr="00E30870">
        <w:rPr>
          <w:rFonts w:asciiTheme="majorBidi" w:eastAsia="Times New Roman" w:hAnsiTheme="majorBidi" w:cstheme="majorBidi"/>
          <w:color w:val="000000" w:themeColor="text1"/>
          <w:sz w:val="24"/>
          <w:szCs w:val="24"/>
          <w:lang w:eastAsia="fr-FR"/>
        </w:rPr>
        <w:t>l</w:t>
      </w:r>
      <w:r w:rsidR="007443DF" w:rsidRPr="00E30870">
        <w:rPr>
          <w:rFonts w:asciiTheme="majorBidi" w:eastAsia="Times New Roman" w:hAnsiTheme="majorBidi" w:cstheme="majorBidi"/>
          <w:color w:val="000000" w:themeColor="text1"/>
          <w:sz w:val="24"/>
          <w:szCs w:val="24"/>
          <w:lang w:eastAsia="fr-FR"/>
        </w:rPr>
        <w:t>a révolution verte</w:t>
      </w:r>
      <w:r w:rsidRPr="00E30870">
        <w:rPr>
          <w:rFonts w:asciiTheme="majorBidi" w:eastAsia="Times New Roman" w:hAnsiTheme="majorBidi" w:cstheme="majorBidi"/>
          <w:color w:val="000000" w:themeColor="text1"/>
          <w:sz w:val="24"/>
          <w:szCs w:val="24"/>
          <w:lang w:eastAsia="fr-FR"/>
        </w:rPr>
        <w:t xml:space="preserve">». </w:t>
      </w:r>
      <w:r w:rsidRPr="00E30870">
        <w:rPr>
          <w:rFonts w:asciiTheme="majorBidi" w:hAnsiTheme="majorBidi" w:cstheme="majorBidi"/>
          <w:color w:val="000000" w:themeColor="text1"/>
          <w:sz w:val="24"/>
          <w:szCs w:val="24"/>
        </w:rPr>
        <w:t xml:space="preserve">Cette expression a été utilisée aux États-Unis pour désigner l’évolution de l’agriculture et des systèmes de production dans la zone tropicale et en particulier, en Inde et au Pendjab. Depuis, </w:t>
      </w:r>
      <w:r w:rsidRPr="00E30870">
        <w:rPr>
          <w:rFonts w:asciiTheme="majorBidi" w:eastAsia="Times New Roman" w:hAnsiTheme="majorBidi" w:cstheme="majorBidi"/>
          <w:color w:val="000000" w:themeColor="text1"/>
          <w:sz w:val="24"/>
          <w:szCs w:val="24"/>
          <w:lang w:eastAsia="fr-FR"/>
        </w:rPr>
        <w:t>le secteur agricole s'est mécanisé et standardisé (</w:t>
      </w:r>
      <w:proofErr w:type="spellStart"/>
      <w:r w:rsidRPr="00E30870">
        <w:rPr>
          <w:rFonts w:asciiTheme="majorBidi" w:hAnsiTheme="majorBidi" w:cstheme="majorBidi"/>
          <w:color w:val="000000" w:themeColor="text1"/>
          <w:sz w:val="24"/>
          <w:szCs w:val="24"/>
          <w:lang w:val="fr-BE"/>
        </w:rPr>
        <w:t>Cartillier</w:t>
      </w:r>
      <w:proofErr w:type="spellEnd"/>
      <w:r w:rsidRPr="00E30870">
        <w:rPr>
          <w:rFonts w:asciiTheme="majorBidi" w:hAnsiTheme="majorBidi" w:cstheme="majorBidi"/>
          <w:color w:val="000000" w:themeColor="text1"/>
          <w:sz w:val="24"/>
          <w:szCs w:val="24"/>
          <w:lang w:val="fr-BE"/>
        </w:rPr>
        <w:t>, 1977)</w:t>
      </w:r>
      <w:r w:rsidRPr="00E30870">
        <w:rPr>
          <w:rFonts w:asciiTheme="majorBidi" w:eastAsia="Times New Roman" w:hAnsiTheme="majorBidi" w:cstheme="majorBidi"/>
          <w:color w:val="000000" w:themeColor="text1"/>
          <w:sz w:val="24"/>
          <w:szCs w:val="24"/>
          <w:lang w:eastAsia="fr-FR"/>
        </w:rPr>
        <w:t>, il a adopté des méthodes permettant d'économiser la main-d’œuvre et s'est mis à utiliser des plantes et notamment des organismes génétiquement modifiés (OGM) qui nécessitent l’utilisation de grandes quantités de produits chimiques pour nourrir et protéger les cultures contre les ravageurs des plantes</w:t>
      </w:r>
      <w:r w:rsidRPr="00E30870">
        <w:rPr>
          <w:rFonts w:asciiTheme="majorBidi" w:hAnsiTheme="majorBidi" w:cstheme="majorBidi"/>
          <w:color w:val="000000" w:themeColor="text1"/>
          <w:sz w:val="24"/>
          <w:szCs w:val="24"/>
        </w:rPr>
        <w:t xml:space="preserve">. Ce progrès agricole </w:t>
      </w:r>
      <w:r w:rsidRPr="00E30870">
        <w:rPr>
          <w:rFonts w:asciiTheme="majorBidi" w:eastAsia="Times New Roman" w:hAnsiTheme="majorBidi" w:cstheme="majorBidi"/>
          <w:color w:val="000000" w:themeColor="text1"/>
          <w:sz w:val="24"/>
          <w:szCs w:val="24"/>
          <w:lang w:eastAsia="fr-FR"/>
        </w:rPr>
        <w:t xml:space="preserve">a permis de réaliser des gains impressionnants de productivité. </w:t>
      </w:r>
      <w:r w:rsidRPr="00E30870">
        <w:rPr>
          <w:rFonts w:asciiTheme="majorBidi" w:hAnsiTheme="majorBidi" w:cstheme="majorBidi"/>
          <w:color w:val="000000" w:themeColor="text1"/>
          <w:sz w:val="24"/>
          <w:szCs w:val="24"/>
        </w:rPr>
        <w:t xml:space="preserve">De ce fait, la production agricole et alimentaire a été </w:t>
      </w:r>
      <w:r w:rsidRPr="00E30870">
        <w:rPr>
          <w:rFonts w:asciiTheme="majorBidi" w:hAnsiTheme="majorBidi" w:cstheme="majorBidi"/>
          <w:color w:val="000000" w:themeColor="text1"/>
          <w:sz w:val="24"/>
          <w:szCs w:val="24"/>
        </w:rPr>
        <w:lastRenderedPageBreak/>
        <w:t xml:space="preserve">multipliée par 2,6, enregistrant en cinquante ans une progression qu’elle ne l’avait fait en dix mille ans (Griffon, 2006). </w:t>
      </w:r>
    </w:p>
    <w:p w:rsidR="00534C26" w:rsidRPr="00E30870" w:rsidRDefault="00534C26" w:rsidP="00534C26">
      <w:pPr>
        <w:spacing w:line="360" w:lineRule="auto"/>
        <w:jc w:val="both"/>
        <w:rPr>
          <w:rFonts w:asciiTheme="majorBidi" w:eastAsia="Times New Roman" w:hAnsiTheme="majorBidi" w:cstheme="majorBidi"/>
          <w:color w:val="000000" w:themeColor="text1"/>
          <w:sz w:val="24"/>
          <w:szCs w:val="24"/>
          <w:lang w:eastAsia="fr-FR"/>
        </w:rPr>
      </w:pPr>
    </w:p>
    <w:p w:rsidR="00534C26" w:rsidRPr="00E30870" w:rsidRDefault="00F83B7D" w:rsidP="00534C26">
      <w:pPr>
        <w:spacing w:line="360" w:lineRule="auto"/>
        <w:jc w:val="center"/>
        <w:rPr>
          <w:rFonts w:asciiTheme="majorBidi" w:eastAsia="Times New Roman" w:hAnsiTheme="majorBidi" w:cstheme="majorBidi"/>
          <w:noProof/>
          <w:color w:val="000000" w:themeColor="text1"/>
          <w:sz w:val="24"/>
          <w:szCs w:val="24"/>
          <w:lang w:eastAsia="fr-FR"/>
        </w:rPr>
      </w:pPr>
      <w:r>
        <w:rPr>
          <w:rFonts w:asciiTheme="majorBidi" w:eastAsia="Times New Roman" w:hAnsiTheme="majorBidi" w:cstheme="majorBidi"/>
          <w:noProof/>
          <w:color w:val="000000" w:themeColor="text1"/>
          <w:sz w:val="24"/>
          <w:szCs w:val="24"/>
          <w:lang w:eastAsia="fr-FR"/>
        </w:rPr>
        <w:pict>
          <v:shapetype id="_x0000_t202" coordsize="21600,21600" o:spt="202" path="m,l,21600r21600,l21600,xe">
            <v:stroke joinstyle="miter"/>
            <v:path gradientshapeok="t" o:connecttype="rect"/>
          </v:shapetype>
          <v:shape id="_x0000_s1026" type="#_x0000_t202" style="position:absolute;left:0;text-align:left;margin-left:84.85pt;margin-top:251.15pt;width:280.65pt;height:44.2pt;z-index:251660288;mso-width-relative:margin;mso-height-relative:margin" stroked="f">
            <v:textbox style="mso-next-textbox:#_x0000_s1026">
              <w:txbxContent>
                <w:p w:rsidR="00534C26" w:rsidRDefault="00534C26" w:rsidP="00534C26">
                  <w:pPr>
                    <w:jc w:val="both"/>
                    <w:rPr>
                      <w:rFonts w:asciiTheme="majorBidi" w:hAnsiTheme="majorBidi" w:cstheme="majorBidi"/>
                    </w:rPr>
                  </w:pPr>
                  <w:r w:rsidRPr="00111B49">
                    <w:rPr>
                      <w:rFonts w:asciiTheme="majorBidi" w:hAnsiTheme="majorBidi" w:cstheme="majorBidi"/>
                      <w:b/>
                      <w:bCs/>
                    </w:rPr>
                    <w:t>Figure1</w:t>
                  </w:r>
                  <w:r w:rsidRPr="00876369">
                    <w:rPr>
                      <w:rFonts w:asciiTheme="majorBidi" w:hAnsiTheme="majorBidi" w:cstheme="majorBidi"/>
                    </w:rPr>
                    <w:t xml:space="preserve"> Mode de vie d</w:t>
                  </w:r>
                  <w:r>
                    <w:rPr>
                      <w:rFonts w:asciiTheme="majorBidi" w:hAnsiTheme="majorBidi" w:cstheme="majorBidi"/>
                    </w:rPr>
                    <w:t>e l’être humain au néolithique.</w:t>
                  </w:r>
                </w:p>
                <w:p w:rsidR="00534C26" w:rsidRPr="000F02EF" w:rsidRDefault="00534C26" w:rsidP="00534C26">
                  <w:pPr>
                    <w:jc w:val="both"/>
                    <w:rPr>
                      <w:color w:val="000000" w:themeColor="text1"/>
                    </w:rPr>
                  </w:pPr>
                  <w:r w:rsidRPr="000F02EF">
                    <w:rPr>
                      <w:rFonts w:asciiTheme="majorBidi" w:eastAsia="Times New Roman" w:hAnsiTheme="majorBidi" w:cstheme="majorBidi"/>
                      <w:color w:val="000000" w:themeColor="text1"/>
                      <w:lang w:val="fr-BE" w:eastAsia="fr-BE"/>
                    </w:rPr>
                    <w:t xml:space="preserve">Source : </w:t>
                  </w:r>
                  <w:r w:rsidRPr="00714D7A">
                    <w:rPr>
                      <w:rFonts w:asciiTheme="majorBidi" w:eastAsia="Times New Roman" w:hAnsiTheme="majorBidi" w:cstheme="majorBidi"/>
                      <w:color w:val="000000" w:themeColor="text1"/>
                      <w:lang w:val="fr-BE" w:eastAsia="fr-BE"/>
                    </w:rPr>
                    <w:t>Anonyme 1</w:t>
                  </w:r>
                </w:p>
              </w:txbxContent>
            </v:textbox>
          </v:shape>
        </w:pict>
      </w:r>
      <w:r w:rsidR="00534C26" w:rsidRPr="00E30870">
        <w:rPr>
          <w:rFonts w:asciiTheme="majorBidi" w:eastAsia="Times New Roman" w:hAnsiTheme="majorBidi" w:cstheme="majorBidi"/>
          <w:noProof/>
          <w:color w:val="000000" w:themeColor="text1"/>
          <w:sz w:val="24"/>
          <w:szCs w:val="24"/>
          <w:lang w:eastAsia="fr-FR"/>
        </w:rPr>
        <w:drawing>
          <wp:inline distT="0" distB="0" distL="0" distR="0">
            <wp:extent cx="3664800" cy="3103200"/>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1041" t="1661" b="18819"/>
                    <a:stretch>
                      <a:fillRect/>
                    </a:stretch>
                  </pic:blipFill>
                  <pic:spPr bwMode="auto">
                    <a:xfrm>
                      <a:off x="0" y="0"/>
                      <a:ext cx="3664800" cy="3103200"/>
                    </a:xfrm>
                    <a:prstGeom prst="rect">
                      <a:avLst/>
                    </a:prstGeom>
                    <a:noFill/>
                    <a:ln w="9525">
                      <a:noFill/>
                      <a:miter lim="800000"/>
                      <a:headEnd/>
                      <a:tailEnd/>
                    </a:ln>
                  </pic:spPr>
                </pic:pic>
              </a:graphicData>
            </a:graphic>
          </wp:inline>
        </w:drawing>
      </w:r>
    </w:p>
    <w:p w:rsidR="00534C26" w:rsidRPr="00E30870" w:rsidRDefault="00534C26" w:rsidP="00534C26">
      <w:pPr>
        <w:spacing w:line="360" w:lineRule="auto"/>
        <w:jc w:val="both"/>
        <w:rPr>
          <w:rFonts w:asciiTheme="majorBidi" w:eastAsia="Times New Roman" w:hAnsiTheme="majorBidi" w:cstheme="majorBidi"/>
          <w:color w:val="000000" w:themeColor="text1"/>
          <w:sz w:val="24"/>
          <w:szCs w:val="24"/>
          <w:lang w:eastAsia="fr-FR"/>
        </w:rPr>
      </w:pPr>
    </w:p>
    <w:p w:rsidR="00581BBC" w:rsidRPr="00E30870" w:rsidRDefault="00581BBC" w:rsidP="00534C26">
      <w:pPr>
        <w:spacing w:line="360" w:lineRule="auto"/>
        <w:jc w:val="both"/>
        <w:rPr>
          <w:rFonts w:asciiTheme="majorBidi" w:eastAsia="Times New Roman" w:hAnsiTheme="majorBidi" w:cstheme="majorBidi"/>
          <w:color w:val="000000" w:themeColor="text1"/>
          <w:sz w:val="24"/>
          <w:szCs w:val="24"/>
          <w:lang w:eastAsia="fr-FR"/>
        </w:rPr>
      </w:pPr>
    </w:p>
    <w:p w:rsidR="00534C26" w:rsidRPr="00E30870" w:rsidRDefault="00534C26" w:rsidP="00534C26">
      <w:pPr>
        <w:spacing w:line="360" w:lineRule="auto"/>
        <w:jc w:val="both"/>
        <w:rPr>
          <w:rFonts w:asciiTheme="majorBidi" w:hAnsiTheme="majorBidi" w:cstheme="majorBidi"/>
          <w:color w:val="000000" w:themeColor="text1"/>
          <w:sz w:val="24"/>
          <w:szCs w:val="24"/>
        </w:rPr>
      </w:pPr>
      <w:r w:rsidRPr="00E30870">
        <w:rPr>
          <w:rFonts w:asciiTheme="majorBidi" w:eastAsia="Times New Roman" w:hAnsiTheme="majorBidi" w:cstheme="majorBidi"/>
          <w:color w:val="000000" w:themeColor="text1"/>
          <w:sz w:val="24"/>
          <w:szCs w:val="24"/>
          <w:lang w:eastAsia="fr-FR"/>
        </w:rPr>
        <w:t>Selon un rapport mondial de l’</w:t>
      </w:r>
      <w:r w:rsidRPr="00E30870">
        <w:rPr>
          <w:rFonts w:asciiTheme="majorBidi" w:hAnsiTheme="majorBidi" w:cstheme="majorBidi"/>
          <w:color w:val="000000" w:themeColor="text1"/>
          <w:sz w:val="24"/>
          <w:szCs w:val="24"/>
        </w:rPr>
        <w:t xml:space="preserve">Organisation des Nations Unies pour l'Alimentation et l'Agriculture (FAO) </w:t>
      </w:r>
      <w:r w:rsidRPr="00E30870">
        <w:rPr>
          <w:rFonts w:asciiTheme="majorBidi" w:eastAsia="Times New Roman" w:hAnsiTheme="majorBidi" w:cstheme="majorBidi"/>
          <w:color w:val="000000" w:themeColor="text1"/>
          <w:sz w:val="24"/>
          <w:szCs w:val="24"/>
          <w:lang w:eastAsia="fr-FR"/>
        </w:rPr>
        <w:t>sur l’alimentation, paru en 2006, l’agriculture mondiale peut nourrir 12 milliards d’êtres humains. Paradoxalement, alors que nous ne sommes que 6,2 milliards de terriens, 900 millions de personnes sont sous-alimentées. La révolution agricole a conduit à l’apparition d’un</w:t>
      </w:r>
      <w:r w:rsidRPr="00E30870">
        <w:rPr>
          <w:rFonts w:asciiTheme="majorBidi" w:hAnsiTheme="majorBidi" w:cstheme="majorBidi"/>
          <w:color w:val="000000" w:themeColor="text1"/>
          <w:sz w:val="24"/>
          <w:szCs w:val="24"/>
          <w:lang w:val="fr-BE"/>
        </w:rPr>
        <w:t xml:space="preserve"> nouveau visage agricole qui s’est caractérisé, comme rapporté par</w:t>
      </w:r>
      <w:r w:rsidRPr="00E30870">
        <w:rPr>
          <w:rFonts w:asciiTheme="majorBidi" w:hAnsiTheme="majorBidi" w:cstheme="majorBidi"/>
          <w:b/>
          <w:bCs/>
          <w:color w:val="000000" w:themeColor="text1"/>
          <w:sz w:val="24"/>
          <w:szCs w:val="24"/>
          <w:lang w:val="fr-BE"/>
        </w:rPr>
        <w:t xml:space="preserve"> </w:t>
      </w:r>
      <w:r w:rsidRPr="00E30870">
        <w:rPr>
          <w:rFonts w:asciiTheme="majorBidi" w:hAnsiTheme="majorBidi" w:cstheme="majorBidi"/>
          <w:color w:val="000000" w:themeColor="text1"/>
          <w:sz w:val="24"/>
          <w:szCs w:val="24"/>
          <w:lang w:val="fr-BE"/>
        </w:rPr>
        <w:t xml:space="preserve">Georges (1959), par une diversification de la nature des cultures, la quantité de moyens de production utilisés à l'hectare, les rendements, la densité de main-d’œuvre employée par hectare, les tailles d'exploitation et par les revenus par exploitation et par travailleur. </w:t>
      </w:r>
      <w:r w:rsidRPr="00E30870">
        <w:rPr>
          <w:rFonts w:asciiTheme="majorBidi" w:hAnsiTheme="majorBidi" w:cstheme="majorBidi"/>
          <w:color w:val="000000" w:themeColor="text1"/>
          <w:sz w:val="24"/>
          <w:szCs w:val="24"/>
        </w:rPr>
        <w:t>De ce fait, la révolution agraire a contribué à  l’</w:t>
      </w:r>
      <w:r w:rsidRPr="00E30870">
        <w:rPr>
          <w:rFonts w:asciiTheme="majorBidi" w:eastAsia="Times New Roman" w:hAnsiTheme="majorBidi" w:cstheme="majorBidi"/>
          <w:color w:val="000000" w:themeColor="text1"/>
          <w:sz w:val="24"/>
          <w:szCs w:val="24"/>
          <w:lang w:eastAsia="fr-FR"/>
        </w:rPr>
        <w:t>accentuation d</w:t>
      </w:r>
      <w:r w:rsidRPr="00E30870">
        <w:rPr>
          <w:rFonts w:asciiTheme="majorBidi" w:hAnsiTheme="majorBidi" w:cstheme="majorBidi"/>
          <w:color w:val="000000" w:themeColor="text1"/>
          <w:sz w:val="24"/>
          <w:szCs w:val="24"/>
        </w:rPr>
        <w:t xml:space="preserve">es </w:t>
      </w:r>
      <w:r w:rsidRPr="00E30870">
        <w:rPr>
          <w:rFonts w:asciiTheme="majorBidi" w:eastAsia="Times New Roman" w:hAnsiTheme="majorBidi" w:cstheme="majorBidi"/>
          <w:color w:val="000000" w:themeColor="text1"/>
          <w:sz w:val="24"/>
          <w:szCs w:val="24"/>
          <w:lang w:eastAsia="fr-FR"/>
        </w:rPr>
        <w:t>disparités sociales et économiques et régionales, à la déperdition du savoir traditionnel agricole, et dans certains pays à une accélération de l'</w:t>
      </w:r>
      <w:hyperlink r:id="rId8" w:tgtFrame="_blank" w:history="1">
        <w:r w:rsidRPr="00E30870">
          <w:rPr>
            <w:rFonts w:asciiTheme="majorBidi" w:eastAsia="Times New Roman" w:hAnsiTheme="majorBidi" w:cstheme="majorBidi"/>
            <w:color w:val="000000" w:themeColor="text1"/>
            <w:sz w:val="24"/>
            <w:szCs w:val="24"/>
            <w:lang w:eastAsia="fr-FR"/>
          </w:rPr>
          <w:t>exode rural</w:t>
        </w:r>
      </w:hyperlink>
      <w:r w:rsidRPr="00E30870">
        <w:rPr>
          <w:rFonts w:asciiTheme="majorBidi" w:eastAsia="Times New Roman" w:hAnsiTheme="majorBidi" w:cstheme="majorBidi"/>
          <w:color w:val="000000" w:themeColor="text1"/>
          <w:sz w:val="24"/>
          <w:szCs w:val="24"/>
          <w:lang w:eastAsia="fr-FR"/>
        </w:rPr>
        <w:t xml:space="preserve">. En effet, elle a surtout profité aux agriculteurs qui possédaient de grandes exploitations et un accès au crédit. </w:t>
      </w:r>
      <w:r w:rsidRPr="00E30870">
        <w:rPr>
          <w:rFonts w:asciiTheme="majorBidi" w:hAnsiTheme="majorBidi" w:cstheme="majorBidi"/>
          <w:color w:val="000000" w:themeColor="text1"/>
          <w:sz w:val="24"/>
          <w:szCs w:val="24"/>
        </w:rPr>
        <w:t xml:space="preserve">La grande majorité des paysans était incapable de répondre aux lourdes exigences, en investissements de cette agriculture moderne et d’acheter les intrants chimiques coûteux, </w:t>
      </w:r>
      <w:r w:rsidRPr="00E30870">
        <w:rPr>
          <w:rFonts w:asciiTheme="majorBidi" w:eastAsia="Times New Roman" w:hAnsiTheme="majorBidi" w:cstheme="majorBidi"/>
          <w:color w:val="000000" w:themeColor="text1"/>
          <w:sz w:val="24"/>
          <w:szCs w:val="24"/>
          <w:lang w:eastAsia="fr-FR"/>
        </w:rPr>
        <w:t xml:space="preserve">qui ont conduit au développement du crédit rural, </w:t>
      </w:r>
      <w:r w:rsidRPr="00E30870">
        <w:rPr>
          <w:rFonts w:asciiTheme="majorBidi" w:eastAsia="Times New Roman" w:hAnsiTheme="majorBidi" w:cstheme="majorBidi"/>
          <w:color w:val="000000" w:themeColor="text1"/>
          <w:sz w:val="24"/>
          <w:szCs w:val="24"/>
          <w:lang w:eastAsia="fr-FR"/>
        </w:rPr>
        <w:lastRenderedPageBreak/>
        <w:t>facteur de fragilisation financière pour ces petits agriculteurs. Ainsi, en Inde, plus de 25000 agriculteurs se sont donné la mort en treize ans.  En outre, selon une étude publiée en 2002 dans la revue scientifique « </w:t>
      </w:r>
      <w:r w:rsidRPr="00E30870">
        <w:rPr>
          <w:rFonts w:asciiTheme="majorBidi" w:eastAsia="Times New Roman" w:hAnsiTheme="majorBidi" w:cstheme="majorBidi"/>
          <w:i/>
          <w:iCs/>
          <w:color w:val="000000" w:themeColor="text1"/>
          <w:sz w:val="24"/>
          <w:szCs w:val="24"/>
          <w:lang w:eastAsia="fr-FR"/>
        </w:rPr>
        <w:t>The Lancet »,</w:t>
      </w:r>
      <w:r w:rsidRPr="00E30870">
        <w:rPr>
          <w:rFonts w:asciiTheme="majorBidi" w:eastAsia="Times New Roman" w:hAnsiTheme="majorBidi" w:cstheme="majorBidi"/>
          <w:color w:val="000000" w:themeColor="text1"/>
          <w:sz w:val="24"/>
          <w:szCs w:val="24"/>
          <w:lang w:eastAsia="fr-FR"/>
        </w:rPr>
        <w:t xml:space="preserve"> le suicide des agriculteurs en régions rurales des pays du Sud a atteint un inadmissible taux de mortalité de 58 décès pour 100 000 habitants, alors que ce même taux est 4 fois moindre dans les pays développés.</w:t>
      </w:r>
      <w:r w:rsidRPr="00E30870">
        <w:rPr>
          <w:rFonts w:asciiTheme="majorBidi" w:hAnsiTheme="majorBidi" w:cstheme="majorBidi"/>
          <w:color w:val="000000" w:themeColor="text1"/>
          <w:sz w:val="24"/>
          <w:szCs w:val="24"/>
        </w:rPr>
        <w:t xml:space="preserve"> </w:t>
      </w:r>
    </w:p>
    <w:p w:rsidR="00534C26" w:rsidRPr="00E30870" w:rsidRDefault="00534C26" w:rsidP="00534C26">
      <w:pPr>
        <w:spacing w:line="360" w:lineRule="auto"/>
        <w:jc w:val="both"/>
        <w:rPr>
          <w:rFonts w:asciiTheme="majorBidi" w:hAnsiTheme="majorBidi" w:cstheme="majorBidi"/>
          <w:color w:val="000000" w:themeColor="text1"/>
          <w:sz w:val="24"/>
          <w:szCs w:val="24"/>
          <w:lang w:val="fr-BE"/>
        </w:rPr>
      </w:pPr>
      <w:r w:rsidRPr="00E30870">
        <w:rPr>
          <w:rFonts w:asciiTheme="majorBidi" w:hAnsiTheme="majorBidi" w:cstheme="majorBidi"/>
          <w:color w:val="000000" w:themeColor="text1"/>
          <w:sz w:val="24"/>
          <w:szCs w:val="24"/>
        </w:rPr>
        <w:t>Malgré les belles promesses de la révolution verte, le coût de production augmente rapidement et fortement. En Inde, la tonne du blé est, ainsi, passée de 30 dollars en 1984-1985 à 80 dollars en 1997-1998 et à 170 à 180 dollars en 2010 (Sylvie, 2010). Au Rwanda, le prix annuel moyen des denrées alimentaires de base sur les marchés locaux a augmenté de 24% entre 2006 et 2008 et de 27% et 34% pour le haricot et le maïs, respectivement, entre 2006 et 2009, alors que le taux d'inflation moyen sur cette période était de 9,8% (</w:t>
      </w:r>
      <w:proofErr w:type="spellStart"/>
      <w:r w:rsidRPr="00E30870">
        <w:rPr>
          <w:rFonts w:asciiTheme="majorBidi" w:hAnsiTheme="majorBidi" w:cstheme="majorBidi"/>
          <w:color w:val="000000" w:themeColor="text1"/>
          <w:sz w:val="24"/>
          <w:szCs w:val="24"/>
        </w:rPr>
        <w:t>Milz</w:t>
      </w:r>
      <w:proofErr w:type="spellEnd"/>
      <w:r w:rsidRPr="00E30870">
        <w:rPr>
          <w:rFonts w:asciiTheme="majorBidi" w:hAnsiTheme="majorBidi" w:cstheme="majorBidi"/>
          <w:color w:val="000000" w:themeColor="text1"/>
          <w:sz w:val="24"/>
          <w:szCs w:val="24"/>
        </w:rPr>
        <w:t>, 2010</w:t>
      </w:r>
      <w:r w:rsidRPr="00E30870">
        <w:rPr>
          <w:rStyle w:val="CitationHTML"/>
          <w:rFonts w:asciiTheme="majorBidi" w:hAnsiTheme="majorBidi" w:cstheme="majorBidi"/>
          <w:i w:val="0"/>
          <w:iCs w:val="0"/>
          <w:color w:val="000000" w:themeColor="text1"/>
          <w:sz w:val="24"/>
          <w:szCs w:val="24"/>
        </w:rPr>
        <w:t>).</w:t>
      </w:r>
      <w:r w:rsidRPr="00E30870">
        <w:rPr>
          <w:rFonts w:asciiTheme="majorBidi" w:hAnsiTheme="majorBidi" w:cstheme="majorBidi"/>
          <w:i/>
          <w:iCs/>
          <w:color w:val="000000" w:themeColor="text1"/>
          <w:sz w:val="24"/>
          <w:szCs w:val="24"/>
        </w:rPr>
        <w:t xml:space="preserve"> </w:t>
      </w:r>
    </w:p>
    <w:p w:rsidR="00534C26" w:rsidRPr="00E30870" w:rsidRDefault="00534C26" w:rsidP="00534C26">
      <w:pPr>
        <w:pStyle w:val="Default"/>
        <w:spacing w:line="360" w:lineRule="auto"/>
        <w:jc w:val="both"/>
        <w:rPr>
          <w:rFonts w:asciiTheme="majorBidi" w:eastAsia="Times New Roman" w:hAnsiTheme="majorBidi" w:cstheme="majorBidi"/>
          <w:color w:val="000000" w:themeColor="text1"/>
          <w:lang w:eastAsia="fr-FR"/>
        </w:rPr>
      </w:pPr>
      <w:r w:rsidRPr="00E30870">
        <w:rPr>
          <w:rFonts w:asciiTheme="majorBidi" w:hAnsiTheme="majorBidi" w:cstheme="majorBidi"/>
          <w:color w:val="000000" w:themeColor="text1"/>
        </w:rPr>
        <w:t xml:space="preserve">En plus de cet aspect socio-économique négatif, de nombreux effets néfastes sont incombés à la révolution agraire. </w:t>
      </w:r>
      <w:r w:rsidRPr="00E30870">
        <w:rPr>
          <w:rFonts w:asciiTheme="majorBidi" w:eastAsia="Times New Roman" w:hAnsiTheme="majorBidi" w:cstheme="majorBidi"/>
          <w:color w:val="000000" w:themeColor="text1"/>
          <w:lang w:eastAsia="fr-FR"/>
        </w:rPr>
        <w:t>Parmi lesquelles on peut citer; la dégradation des terres, la salinisation des zones irriguées, l'extraction excessive imposée aux nappes aquifères souterraines, le renforcement des résistances des ravageurs, l’accumulation des résidus toxiques dans l’environnement et dans la chaine alimentaire, le déboisement, les émissions de gaz à effet de serre et l'érosion de la biodiversité (</w:t>
      </w:r>
      <w:proofErr w:type="spellStart"/>
      <w:r w:rsidRPr="00E30870">
        <w:rPr>
          <w:rFonts w:asciiTheme="majorBidi" w:eastAsia="Times New Roman" w:hAnsiTheme="majorBidi" w:cstheme="majorBidi"/>
          <w:color w:val="000000" w:themeColor="text1"/>
          <w:lang w:eastAsia="fr-FR"/>
        </w:rPr>
        <w:t>Bruinsma</w:t>
      </w:r>
      <w:proofErr w:type="spellEnd"/>
      <w:r w:rsidRPr="00E30870">
        <w:rPr>
          <w:rFonts w:asciiTheme="majorBidi" w:hAnsiTheme="majorBidi" w:cstheme="majorBidi"/>
          <w:color w:val="000000" w:themeColor="text1"/>
        </w:rPr>
        <w:t xml:space="preserve">, </w:t>
      </w:r>
      <w:r w:rsidRPr="00E30870">
        <w:rPr>
          <w:rFonts w:asciiTheme="majorBidi" w:eastAsia="Times New Roman" w:hAnsiTheme="majorBidi" w:cstheme="majorBidi"/>
          <w:color w:val="000000" w:themeColor="text1"/>
          <w:lang w:eastAsia="fr-FR"/>
        </w:rPr>
        <w:t xml:space="preserve">2009 ; </w:t>
      </w:r>
      <w:proofErr w:type="spellStart"/>
      <w:r w:rsidRPr="00E30870">
        <w:rPr>
          <w:rFonts w:asciiTheme="majorBidi" w:eastAsia="Times New Roman" w:hAnsiTheme="majorBidi" w:cstheme="majorBidi"/>
          <w:color w:val="000000" w:themeColor="text1"/>
          <w:lang w:eastAsia="fr-FR"/>
        </w:rPr>
        <w:t>Tilman</w:t>
      </w:r>
      <w:proofErr w:type="spellEnd"/>
      <w:r w:rsidRPr="00E30870">
        <w:rPr>
          <w:rFonts w:asciiTheme="majorBidi" w:hAnsiTheme="majorBidi" w:cstheme="majorBidi"/>
          <w:color w:val="000000" w:themeColor="text1"/>
        </w:rPr>
        <w:t xml:space="preserve"> </w:t>
      </w:r>
      <w:r w:rsidRPr="00E30870">
        <w:rPr>
          <w:rFonts w:asciiTheme="majorBidi" w:hAnsiTheme="majorBidi" w:cstheme="majorBidi"/>
          <w:i/>
          <w:iCs/>
          <w:color w:val="000000" w:themeColor="text1"/>
        </w:rPr>
        <w:t xml:space="preserve">et </w:t>
      </w:r>
      <w:proofErr w:type="gramStart"/>
      <w:r w:rsidRPr="00E30870">
        <w:rPr>
          <w:rFonts w:asciiTheme="majorBidi" w:hAnsiTheme="majorBidi" w:cstheme="majorBidi"/>
          <w:i/>
          <w:iCs/>
          <w:color w:val="000000" w:themeColor="text1"/>
        </w:rPr>
        <w:t>al.,</w:t>
      </w:r>
      <w:proofErr w:type="gramEnd"/>
      <w:r w:rsidRPr="00E30870">
        <w:rPr>
          <w:rFonts w:asciiTheme="majorBidi" w:hAnsiTheme="majorBidi" w:cstheme="majorBidi"/>
          <w:color w:val="000000" w:themeColor="text1"/>
        </w:rPr>
        <w:t xml:space="preserve"> </w:t>
      </w:r>
      <w:r w:rsidRPr="00E30870">
        <w:rPr>
          <w:rFonts w:asciiTheme="majorBidi" w:eastAsia="Times New Roman" w:hAnsiTheme="majorBidi" w:cstheme="majorBidi"/>
          <w:color w:val="000000" w:themeColor="text1"/>
          <w:lang w:eastAsia="fr-FR"/>
        </w:rPr>
        <w:t xml:space="preserve">2002). </w:t>
      </w:r>
    </w:p>
    <w:p w:rsidR="00534C26" w:rsidRPr="00E30870" w:rsidRDefault="00534C26" w:rsidP="00534C26">
      <w:pPr>
        <w:pStyle w:val="Default"/>
        <w:spacing w:line="360" w:lineRule="auto"/>
        <w:jc w:val="both"/>
        <w:rPr>
          <w:rFonts w:asciiTheme="majorBidi" w:eastAsia="Times New Roman" w:hAnsiTheme="majorBidi" w:cstheme="majorBidi"/>
          <w:color w:val="000000" w:themeColor="text1"/>
          <w:lang w:eastAsia="fr-FR"/>
        </w:rPr>
      </w:pPr>
    </w:p>
    <w:p w:rsidR="00534C26" w:rsidRPr="00E30870" w:rsidRDefault="00534C26" w:rsidP="00534C26">
      <w:pPr>
        <w:pStyle w:val="Default"/>
        <w:spacing w:line="360" w:lineRule="auto"/>
        <w:jc w:val="both"/>
        <w:rPr>
          <w:rFonts w:asciiTheme="majorBidi" w:eastAsia="Times New Roman" w:hAnsiTheme="majorBidi" w:cstheme="majorBidi"/>
          <w:b/>
          <w:bCs/>
          <w:color w:val="000000" w:themeColor="text1"/>
          <w:sz w:val="28"/>
          <w:szCs w:val="28"/>
          <w:lang w:eastAsia="fr-FR"/>
        </w:rPr>
      </w:pPr>
      <w:r w:rsidRPr="00E30870">
        <w:rPr>
          <w:rFonts w:asciiTheme="majorBidi" w:eastAsia="Times New Roman" w:hAnsiTheme="majorBidi" w:cstheme="majorBidi"/>
          <w:b/>
          <w:bCs/>
          <w:color w:val="000000" w:themeColor="text1"/>
          <w:sz w:val="28"/>
          <w:szCs w:val="28"/>
          <w:lang w:eastAsia="fr-FR"/>
        </w:rPr>
        <w:t>2.2- Dangers de l’emploi intensif des pesticides à usage agricole</w:t>
      </w:r>
    </w:p>
    <w:p w:rsidR="00534C26" w:rsidRPr="00E30870" w:rsidRDefault="00534C26" w:rsidP="00534C26">
      <w:pPr>
        <w:pStyle w:val="Default"/>
        <w:spacing w:line="360" w:lineRule="auto"/>
        <w:jc w:val="both"/>
        <w:rPr>
          <w:rFonts w:asciiTheme="majorBidi" w:eastAsia="Times New Roman" w:hAnsiTheme="majorBidi" w:cstheme="majorBidi"/>
          <w:b/>
          <w:bCs/>
          <w:color w:val="000000" w:themeColor="text1"/>
          <w:sz w:val="28"/>
          <w:szCs w:val="28"/>
          <w:lang w:eastAsia="fr-FR"/>
        </w:rPr>
      </w:pPr>
      <w:r w:rsidRPr="00E30870">
        <w:rPr>
          <w:rFonts w:asciiTheme="majorBidi" w:eastAsia="Times New Roman" w:hAnsiTheme="majorBidi" w:cstheme="majorBidi"/>
          <w:b/>
          <w:bCs/>
          <w:color w:val="000000" w:themeColor="text1"/>
          <w:lang w:eastAsia="fr-FR"/>
        </w:rPr>
        <w:t>2.2.1- Dangers liés à la santé humaine</w:t>
      </w:r>
    </w:p>
    <w:p w:rsidR="00534C26" w:rsidRPr="00E30870" w:rsidRDefault="00534C26" w:rsidP="00534C26">
      <w:pPr>
        <w:pStyle w:val="Default"/>
        <w:spacing w:line="360" w:lineRule="auto"/>
        <w:jc w:val="both"/>
        <w:rPr>
          <w:rFonts w:asciiTheme="majorBidi" w:hAnsiTheme="majorBidi" w:cstheme="majorBidi"/>
          <w:color w:val="000000" w:themeColor="text1"/>
        </w:rPr>
      </w:pPr>
      <w:r w:rsidRPr="00E30870">
        <w:rPr>
          <w:rFonts w:asciiTheme="majorBidi" w:eastAsia="Times New Roman" w:hAnsiTheme="majorBidi" w:cstheme="majorBidi"/>
          <w:color w:val="000000" w:themeColor="text1"/>
          <w:lang w:eastAsia="fr-FR"/>
        </w:rPr>
        <w:t xml:space="preserve">La Révolution verte nous a enseigné que l'emploi intensif de pesticides et d'engrais est nocif pour les écosystèmes et par conséquent pour la santé de l’animal et de l’homme. </w:t>
      </w:r>
      <w:r w:rsidRPr="00E30870">
        <w:rPr>
          <w:rFonts w:asciiTheme="majorBidi" w:hAnsiTheme="majorBidi" w:cstheme="majorBidi"/>
          <w:color w:val="000000" w:themeColor="text1"/>
        </w:rPr>
        <w:t xml:space="preserve">Plus de 150 études réalisées dans 61 pays et régions du monde ont abouti à la constatation de présence des résidus de pesticides dans les tissus adipeux, le cerveau, le sang, le lait maternel, le foie, le placenta, le sperme et le sang du cordon ombilical (Rachel, 1962). L’épidémiologie a ainsi montré que les personnes exposées aux pesticides encourent  plus de risque, de développer de nombreuses pathologies telles que: le </w:t>
      </w:r>
      <w:hyperlink r:id="rId9" w:history="1">
        <w:r w:rsidRPr="00E30870">
          <w:rPr>
            <w:rStyle w:val="Lienhypertexte"/>
            <w:rFonts w:asciiTheme="majorBidi" w:hAnsiTheme="majorBidi" w:cstheme="majorBidi"/>
            <w:color w:val="000000" w:themeColor="text1"/>
            <w:u w:val="none"/>
          </w:rPr>
          <w:t>cancer</w:t>
        </w:r>
      </w:hyperlink>
      <w:r w:rsidRPr="00E30870">
        <w:rPr>
          <w:rFonts w:asciiTheme="majorBidi" w:hAnsiTheme="majorBidi" w:cstheme="majorBidi"/>
          <w:color w:val="000000" w:themeColor="text1"/>
        </w:rPr>
        <w:t xml:space="preserve"> (</w:t>
      </w:r>
      <w:proofErr w:type="spellStart"/>
      <w:r w:rsidRPr="00E30870">
        <w:rPr>
          <w:rFonts w:asciiTheme="majorBidi" w:hAnsiTheme="majorBidi" w:cstheme="majorBidi"/>
          <w:color w:val="000000" w:themeColor="text1"/>
        </w:rPr>
        <w:t>Pluygers</w:t>
      </w:r>
      <w:proofErr w:type="spellEnd"/>
      <w:r w:rsidRPr="00E30870">
        <w:rPr>
          <w:rFonts w:asciiTheme="majorBidi" w:hAnsiTheme="majorBidi" w:cstheme="majorBidi"/>
          <w:color w:val="000000" w:themeColor="text1"/>
        </w:rPr>
        <w:t xml:space="preserve"> </w:t>
      </w:r>
      <w:r w:rsidRPr="00E30870">
        <w:rPr>
          <w:rFonts w:asciiTheme="majorBidi" w:hAnsiTheme="majorBidi" w:cstheme="majorBidi"/>
          <w:i/>
          <w:iCs/>
          <w:color w:val="000000" w:themeColor="text1"/>
        </w:rPr>
        <w:t>et al.,</w:t>
      </w:r>
      <w:r w:rsidRPr="00E30870">
        <w:rPr>
          <w:rFonts w:asciiTheme="majorBidi" w:hAnsiTheme="majorBidi" w:cstheme="majorBidi"/>
          <w:color w:val="000000" w:themeColor="text1"/>
        </w:rPr>
        <w:t xml:space="preserve"> 1994), les </w:t>
      </w:r>
      <w:hyperlink r:id="rId10" w:history="1">
        <w:r w:rsidRPr="00E30870">
          <w:rPr>
            <w:rStyle w:val="Lienhypertexte"/>
            <w:rFonts w:asciiTheme="majorBidi" w:hAnsiTheme="majorBidi" w:cstheme="majorBidi"/>
            <w:color w:val="000000" w:themeColor="text1"/>
            <w:u w:val="none"/>
          </w:rPr>
          <w:t>problèmes neurologiques</w:t>
        </w:r>
      </w:hyperlink>
      <w:r w:rsidRPr="00E30870">
        <w:rPr>
          <w:rFonts w:asciiTheme="majorBidi" w:hAnsiTheme="majorBidi" w:cstheme="majorBidi"/>
          <w:color w:val="000000" w:themeColor="text1"/>
        </w:rPr>
        <w:t xml:space="preserve"> (Jamal, 1997), les </w:t>
      </w:r>
      <w:hyperlink r:id="rId11" w:history="1">
        <w:r w:rsidRPr="00E30870">
          <w:rPr>
            <w:rStyle w:val="Lienhypertexte"/>
            <w:rFonts w:asciiTheme="majorBidi" w:hAnsiTheme="majorBidi" w:cstheme="majorBidi"/>
            <w:color w:val="000000" w:themeColor="text1"/>
            <w:u w:val="none"/>
          </w:rPr>
          <w:t>malformations congénitales</w:t>
        </w:r>
      </w:hyperlink>
      <w:r w:rsidRPr="00E30870">
        <w:rPr>
          <w:rFonts w:asciiTheme="majorBidi" w:hAnsiTheme="majorBidi" w:cstheme="majorBidi"/>
          <w:color w:val="000000" w:themeColor="text1"/>
        </w:rPr>
        <w:t xml:space="preserve"> (Bell </w:t>
      </w:r>
      <w:r w:rsidRPr="00E30870">
        <w:rPr>
          <w:rFonts w:asciiTheme="majorBidi" w:hAnsiTheme="majorBidi" w:cstheme="majorBidi"/>
          <w:i/>
          <w:iCs/>
          <w:color w:val="000000" w:themeColor="text1"/>
        </w:rPr>
        <w:t>et al.,</w:t>
      </w:r>
      <w:r w:rsidRPr="00E30870">
        <w:rPr>
          <w:rFonts w:asciiTheme="majorBidi" w:hAnsiTheme="majorBidi" w:cstheme="majorBidi"/>
          <w:color w:val="000000" w:themeColor="text1"/>
        </w:rPr>
        <w:t xml:space="preserve"> 2001), les </w:t>
      </w:r>
      <w:hyperlink r:id="rId12" w:history="1">
        <w:r w:rsidRPr="00E30870">
          <w:rPr>
            <w:rStyle w:val="Lienhypertexte"/>
            <w:rFonts w:asciiTheme="majorBidi" w:hAnsiTheme="majorBidi" w:cstheme="majorBidi"/>
            <w:color w:val="000000" w:themeColor="text1"/>
            <w:u w:val="none"/>
          </w:rPr>
          <w:t>problèmes d’infertilité</w:t>
        </w:r>
      </w:hyperlink>
      <w:r w:rsidRPr="00E30870">
        <w:rPr>
          <w:rFonts w:asciiTheme="majorBidi" w:hAnsiTheme="majorBidi" w:cstheme="majorBidi"/>
          <w:color w:val="000000" w:themeColor="text1"/>
        </w:rPr>
        <w:t xml:space="preserve"> (</w:t>
      </w:r>
      <w:proofErr w:type="spellStart"/>
      <w:r w:rsidRPr="00E30870">
        <w:rPr>
          <w:rFonts w:asciiTheme="majorBidi" w:hAnsiTheme="majorBidi" w:cstheme="majorBidi"/>
          <w:color w:val="000000" w:themeColor="text1"/>
        </w:rPr>
        <w:t>Greenlee</w:t>
      </w:r>
      <w:proofErr w:type="spellEnd"/>
      <w:r w:rsidRPr="00E30870">
        <w:rPr>
          <w:rFonts w:asciiTheme="majorBidi" w:hAnsiTheme="majorBidi" w:cstheme="majorBidi"/>
          <w:color w:val="000000" w:themeColor="text1"/>
        </w:rPr>
        <w:t xml:space="preserve"> </w:t>
      </w:r>
      <w:r w:rsidRPr="00E30870">
        <w:rPr>
          <w:rFonts w:asciiTheme="majorBidi" w:hAnsiTheme="majorBidi" w:cstheme="majorBidi"/>
          <w:i/>
          <w:iCs/>
          <w:color w:val="000000" w:themeColor="text1"/>
        </w:rPr>
        <w:t>et al.,</w:t>
      </w:r>
      <w:r w:rsidRPr="00E30870">
        <w:rPr>
          <w:rFonts w:asciiTheme="majorBidi" w:hAnsiTheme="majorBidi" w:cstheme="majorBidi"/>
          <w:color w:val="000000" w:themeColor="text1"/>
        </w:rPr>
        <w:t xml:space="preserve"> 2003), ou encore le </w:t>
      </w:r>
      <w:hyperlink r:id="rId13" w:history="1">
        <w:r w:rsidRPr="00E30870">
          <w:rPr>
            <w:rStyle w:val="Lienhypertexte"/>
            <w:rFonts w:asciiTheme="majorBidi" w:hAnsiTheme="majorBidi" w:cstheme="majorBidi"/>
            <w:color w:val="000000" w:themeColor="text1"/>
            <w:u w:val="none"/>
          </w:rPr>
          <w:t>système immunitaire affaibli</w:t>
        </w:r>
      </w:hyperlink>
      <w:r w:rsidRPr="00E30870">
        <w:rPr>
          <w:rFonts w:asciiTheme="majorBidi" w:hAnsiTheme="majorBidi" w:cstheme="majorBidi"/>
          <w:color w:val="000000" w:themeColor="text1"/>
        </w:rPr>
        <w:t xml:space="preserve"> (Thomas </w:t>
      </w:r>
      <w:r w:rsidRPr="00E30870">
        <w:rPr>
          <w:rFonts w:asciiTheme="majorBidi" w:hAnsiTheme="majorBidi" w:cstheme="majorBidi"/>
          <w:i/>
          <w:iCs/>
          <w:color w:val="000000" w:themeColor="text1"/>
        </w:rPr>
        <w:t>et al.</w:t>
      </w:r>
      <w:r w:rsidRPr="00E30870">
        <w:rPr>
          <w:rFonts w:asciiTheme="majorBidi" w:hAnsiTheme="majorBidi" w:cstheme="majorBidi"/>
          <w:color w:val="000000" w:themeColor="text1"/>
        </w:rPr>
        <w:t xml:space="preserve">, 1988). </w:t>
      </w:r>
      <w:proofErr w:type="spellStart"/>
      <w:r w:rsidRPr="00E30870">
        <w:rPr>
          <w:rFonts w:asciiTheme="majorBidi" w:hAnsiTheme="majorBidi" w:cstheme="majorBidi"/>
          <w:color w:val="000000" w:themeColor="text1"/>
        </w:rPr>
        <w:t>Jeyaratnam</w:t>
      </w:r>
      <w:proofErr w:type="spellEnd"/>
      <w:r w:rsidRPr="00E30870">
        <w:rPr>
          <w:rFonts w:asciiTheme="majorBidi" w:hAnsiTheme="majorBidi" w:cstheme="majorBidi"/>
          <w:color w:val="000000" w:themeColor="text1"/>
        </w:rPr>
        <w:t xml:space="preserve">. (1990) a notifié que deux millions de cas de personnes ont été hospitalisées pour cause de tentatives de suicide avec des pesticides et a conclu que les intoxications par les pesticides peuvent constituer, dans certains pays en développement, un </w:t>
      </w:r>
      <w:r w:rsidRPr="00E30870">
        <w:rPr>
          <w:rFonts w:asciiTheme="majorBidi" w:hAnsiTheme="majorBidi" w:cstheme="majorBidi"/>
          <w:color w:val="000000" w:themeColor="text1"/>
        </w:rPr>
        <w:lastRenderedPageBreak/>
        <w:t xml:space="preserve">grave problème de santé publique comme le sont les maladies contagieuses. Selon un rapport de la Banque mondiale (WB, 2008), 355.000 personnes dans le monde meurent chaque année d’empoisonnement involontaire dû à des pesticides. </w:t>
      </w:r>
    </w:p>
    <w:p w:rsidR="00534C26" w:rsidRPr="00E30870" w:rsidRDefault="00534C26" w:rsidP="00534C26">
      <w:pPr>
        <w:pStyle w:val="Default"/>
        <w:spacing w:line="360" w:lineRule="auto"/>
        <w:jc w:val="both"/>
        <w:rPr>
          <w:rFonts w:asciiTheme="majorBidi" w:hAnsiTheme="majorBidi" w:cstheme="majorBidi"/>
          <w:b/>
          <w:bCs/>
          <w:color w:val="000000" w:themeColor="text1"/>
          <w:sz w:val="28"/>
          <w:szCs w:val="28"/>
        </w:rPr>
      </w:pPr>
    </w:p>
    <w:p w:rsidR="00534C26" w:rsidRPr="00E30870" w:rsidRDefault="00534C26" w:rsidP="00534C26">
      <w:pPr>
        <w:pStyle w:val="Default"/>
        <w:spacing w:line="360" w:lineRule="auto"/>
        <w:jc w:val="both"/>
        <w:rPr>
          <w:rFonts w:asciiTheme="majorBidi" w:hAnsiTheme="majorBidi" w:cstheme="majorBidi"/>
          <w:b/>
          <w:bCs/>
          <w:color w:val="000000" w:themeColor="text1"/>
        </w:rPr>
      </w:pPr>
      <w:r w:rsidRPr="00E30870">
        <w:rPr>
          <w:rFonts w:asciiTheme="majorBidi" w:hAnsiTheme="majorBidi" w:cstheme="majorBidi"/>
          <w:b/>
          <w:bCs/>
          <w:color w:val="000000" w:themeColor="text1"/>
        </w:rPr>
        <w:t xml:space="preserve">2.2.2- Effet des pesticides sur la biodiversité </w:t>
      </w:r>
    </w:p>
    <w:p w:rsidR="00534C26" w:rsidRPr="00E30870" w:rsidRDefault="00534C26" w:rsidP="00534C26">
      <w:pPr>
        <w:pStyle w:val="Default"/>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rPr>
        <w:t>1 211 espèces d’oiseaux (12 % du total) sont considérées comme étant menacées dans le monde, et 86 % de celles-ci sont menacées par la destruction ou la dégradation de leur habitat. Pour 187 espèces d’oiseaux menacées dans le monde, la première source de pression est la pollution chimique, comprenant les engrais, les pesticides et les métaux lourds pénétrant les eaux de surface et l’environnement terrestre (</w:t>
      </w:r>
      <w:proofErr w:type="spellStart"/>
      <w:r w:rsidRPr="00E30870">
        <w:rPr>
          <w:rFonts w:asciiTheme="majorBidi" w:hAnsiTheme="majorBidi" w:cstheme="majorBidi"/>
          <w:color w:val="000000" w:themeColor="text1"/>
        </w:rPr>
        <w:t>Berny</w:t>
      </w:r>
      <w:proofErr w:type="spellEnd"/>
      <w:r w:rsidRPr="00E30870">
        <w:rPr>
          <w:rFonts w:asciiTheme="majorBidi" w:hAnsiTheme="majorBidi" w:cstheme="majorBidi"/>
          <w:color w:val="000000" w:themeColor="text1"/>
        </w:rPr>
        <w:t xml:space="preserve"> </w:t>
      </w:r>
      <w:r w:rsidRPr="00E30870">
        <w:rPr>
          <w:rFonts w:asciiTheme="majorBidi" w:hAnsiTheme="majorBidi" w:cstheme="majorBidi"/>
          <w:i/>
          <w:iCs/>
          <w:color w:val="000000" w:themeColor="text1"/>
        </w:rPr>
        <w:t xml:space="preserve">et </w:t>
      </w:r>
      <w:proofErr w:type="gramStart"/>
      <w:r w:rsidRPr="00E30870">
        <w:rPr>
          <w:rFonts w:asciiTheme="majorBidi" w:hAnsiTheme="majorBidi" w:cstheme="majorBidi"/>
          <w:i/>
          <w:iCs/>
          <w:color w:val="000000" w:themeColor="text1"/>
        </w:rPr>
        <w:t>al.,</w:t>
      </w:r>
      <w:proofErr w:type="gramEnd"/>
      <w:r w:rsidRPr="00E30870">
        <w:rPr>
          <w:rFonts w:asciiTheme="majorBidi" w:hAnsiTheme="majorBidi" w:cstheme="majorBidi"/>
          <w:i/>
          <w:iCs/>
          <w:color w:val="000000" w:themeColor="text1"/>
        </w:rPr>
        <w:t xml:space="preserve"> </w:t>
      </w:r>
      <w:r w:rsidRPr="00E30870">
        <w:rPr>
          <w:rFonts w:asciiTheme="majorBidi" w:hAnsiTheme="majorBidi" w:cstheme="majorBidi"/>
          <w:color w:val="000000" w:themeColor="text1"/>
        </w:rPr>
        <w:t>1997).</w:t>
      </w:r>
    </w:p>
    <w:p w:rsidR="00534C26" w:rsidRPr="00E30870" w:rsidRDefault="00534C26" w:rsidP="00534C26">
      <w:pPr>
        <w:pStyle w:val="Default"/>
        <w:spacing w:line="360" w:lineRule="auto"/>
        <w:jc w:val="both"/>
        <w:rPr>
          <w:rFonts w:asciiTheme="majorBidi" w:hAnsiTheme="majorBidi" w:cstheme="majorBidi"/>
          <w:color w:val="000000" w:themeColor="text1"/>
        </w:rPr>
      </w:pPr>
    </w:p>
    <w:p w:rsidR="00534C26" w:rsidRPr="00E30870" w:rsidRDefault="00534C26" w:rsidP="00534C26">
      <w:pPr>
        <w:pStyle w:val="Default"/>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rPr>
        <w:t xml:space="preserve">Les herbicides peuvent provoquer des changements de végétation et d’habitat qui menacent les mammifères. En France, des renards ont été empoisonnés par des résidus de </w:t>
      </w:r>
      <w:proofErr w:type="spellStart"/>
      <w:r w:rsidRPr="00E30870">
        <w:rPr>
          <w:rFonts w:asciiTheme="majorBidi" w:hAnsiTheme="majorBidi" w:cstheme="majorBidi"/>
          <w:color w:val="000000" w:themeColor="text1"/>
        </w:rPr>
        <w:t>bromadiolone</w:t>
      </w:r>
      <w:proofErr w:type="spellEnd"/>
      <w:r w:rsidRPr="00E30870">
        <w:rPr>
          <w:rFonts w:asciiTheme="majorBidi" w:hAnsiTheme="majorBidi" w:cstheme="majorBidi"/>
          <w:color w:val="000000" w:themeColor="text1"/>
        </w:rPr>
        <w:t xml:space="preserve"> contenu dans le tissu corporel de leurs proies (</w:t>
      </w:r>
      <w:proofErr w:type="spellStart"/>
      <w:r w:rsidRPr="00E30870">
        <w:rPr>
          <w:rFonts w:asciiTheme="majorBidi" w:hAnsiTheme="majorBidi" w:cstheme="majorBidi"/>
          <w:color w:val="000000" w:themeColor="text1"/>
        </w:rPr>
        <w:t>Berny</w:t>
      </w:r>
      <w:proofErr w:type="spellEnd"/>
      <w:r w:rsidRPr="00E30870">
        <w:rPr>
          <w:rFonts w:asciiTheme="majorBidi" w:hAnsiTheme="majorBidi" w:cstheme="majorBidi"/>
          <w:color w:val="000000" w:themeColor="text1"/>
        </w:rPr>
        <w:t xml:space="preserve"> </w:t>
      </w:r>
      <w:r w:rsidRPr="00E30870">
        <w:rPr>
          <w:rFonts w:asciiTheme="majorBidi" w:hAnsiTheme="majorBidi" w:cstheme="majorBidi"/>
          <w:i/>
          <w:iCs/>
          <w:color w:val="000000" w:themeColor="text1"/>
        </w:rPr>
        <w:t xml:space="preserve">et </w:t>
      </w:r>
      <w:proofErr w:type="gramStart"/>
      <w:r w:rsidRPr="00E30870">
        <w:rPr>
          <w:rFonts w:asciiTheme="majorBidi" w:hAnsiTheme="majorBidi" w:cstheme="majorBidi"/>
          <w:i/>
          <w:iCs/>
          <w:color w:val="000000" w:themeColor="text1"/>
        </w:rPr>
        <w:t>al.,</w:t>
      </w:r>
      <w:proofErr w:type="gramEnd"/>
      <w:r w:rsidRPr="00E30870">
        <w:rPr>
          <w:rFonts w:asciiTheme="majorBidi" w:hAnsiTheme="majorBidi" w:cstheme="majorBidi"/>
          <w:i/>
          <w:iCs/>
          <w:color w:val="000000" w:themeColor="text1"/>
        </w:rPr>
        <w:t xml:space="preserve"> </w:t>
      </w:r>
      <w:r w:rsidRPr="00E30870">
        <w:rPr>
          <w:rFonts w:asciiTheme="majorBidi" w:hAnsiTheme="majorBidi" w:cstheme="majorBidi"/>
          <w:color w:val="000000" w:themeColor="text1"/>
        </w:rPr>
        <w:t xml:space="preserve">1997). Au moins 25-35% des petits mammifères prédateurs (putois, hermines et belettes) échantillonnés ont été exposés aux </w:t>
      </w:r>
      <w:proofErr w:type="spellStart"/>
      <w:r w:rsidRPr="00E30870">
        <w:rPr>
          <w:rFonts w:asciiTheme="majorBidi" w:hAnsiTheme="majorBidi" w:cstheme="majorBidi"/>
          <w:color w:val="000000" w:themeColor="text1"/>
        </w:rPr>
        <w:t>rodenticides</w:t>
      </w:r>
      <w:proofErr w:type="spellEnd"/>
      <w:r w:rsidRPr="00E30870">
        <w:rPr>
          <w:rFonts w:asciiTheme="majorBidi" w:hAnsiTheme="majorBidi" w:cstheme="majorBidi"/>
          <w:color w:val="000000" w:themeColor="text1"/>
        </w:rPr>
        <w:t xml:space="preserve">, et ce chiffre est peut-être sous-estimé (Shore </w:t>
      </w:r>
      <w:r w:rsidRPr="00E30870">
        <w:rPr>
          <w:rFonts w:asciiTheme="majorBidi" w:hAnsiTheme="majorBidi" w:cstheme="majorBidi"/>
          <w:i/>
          <w:iCs/>
          <w:color w:val="000000" w:themeColor="text1"/>
        </w:rPr>
        <w:t xml:space="preserve">et </w:t>
      </w:r>
      <w:proofErr w:type="gramStart"/>
      <w:r w:rsidRPr="00E30870">
        <w:rPr>
          <w:rFonts w:asciiTheme="majorBidi" w:hAnsiTheme="majorBidi" w:cstheme="majorBidi"/>
          <w:i/>
          <w:iCs/>
          <w:color w:val="000000" w:themeColor="text1"/>
        </w:rPr>
        <w:t>al.,</w:t>
      </w:r>
      <w:proofErr w:type="gramEnd"/>
      <w:r w:rsidRPr="00E30870">
        <w:rPr>
          <w:rFonts w:asciiTheme="majorBidi" w:hAnsiTheme="majorBidi" w:cstheme="majorBidi"/>
          <w:i/>
          <w:iCs/>
          <w:color w:val="000000" w:themeColor="text1"/>
        </w:rPr>
        <w:t xml:space="preserve"> </w:t>
      </w:r>
      <w:r w:rsidRPr="00E30870">
        <w:rPr>
          <w:rFonts w:asciiTheme="majorBidi" w:hAnsiTheme="majorBidi" w:cstheme="majorBidi"/>
          <w:color w:val="000000" w:themeColor="text1"/>
        </w:rPr>
        <w:t xml:space="preserve">1999). Au Royaume- Uni, suite au contrôle de la population de rats aux </w:t>
      </w:r>
      <w:proofErr w:type="spellStart"/>
      <w:r w:rsidRPr="00E30870">
        <w:rPr>
          <w:rFonts w:asciiTheme="majorBidi" w:hAnsiTheme="majorBidi" w:cstheme="majorBidi"/>
          <w:color w:val="000000" w:themeColor="text1"/>
        </w:rPr>
        <w:t>rodenticides</w:t>
      </w:r>
      <w:proofErr w:type="spellEnd"/>
      <w:r w:rsidRPr="00E30870">
        <w:rPr>
          <w:rFonts w:asciiTheme="majorBidi" w:hAnsiTheme="majorBidi" w:cstheme="majorBidi"/>
          <w:color w:val="000000" w:themeColor="text1"/>
        </w:rPr>
        <w:t>, les populations locales de mulots sylvestres, campagnols roussâtres et campagnols agrestes ont décliné de manière significative (</w:t>
      </w:r>
      <w:proofErr w:type="spellStart"/>
      <w:r w:rsidRPr="00E30870">
        <w:rPr>
          <w:rFonts w:asciiTheme="majorBidi" w:hAnsiTheme="majorBidi" w:cstheme="majorBidi"/>
          <w:color w:val="000000" w:themeColor="text1"/>
        </w:rPr>
        <w:t>Brakes</w:t>
      </w:r>
      <w:proofErr w:type="spellEnd"/>
      <w:r w:rsidRPr="00E30870">
        <w:rPr>
          <w:rFonts w:asciiTheme="majorBidi" w:hAnsiTheme="majorBidi" w:cstheme="majorBidi"/>
          <w:color w:val="000000" w:themeColor="text1"/>
        </w:rPr>
        <w:t xml:space="preserve"> et Smith, 2005). </w:t>
      </w:r>
    </w:p>
    <w:p w:rsidR="00534C26" w:rsidRPr="00E30870" w:rsidRDefault="00534C26" w:rsidP="00534C26">
      <w:pPr>
        <w:pStyle w:val="Default"/>
        <w:spacing w:line="360" w:lineRule="auto"/>
        <w:ind w:firstLine="360"/>
        <w:jc w:val="both"/>
        <w:rPr>
          <w:rFonts w:asciiTheme="majorBidi" w:hAnsiTheme="majorBidi" w:cstheme="majorBidi"/>
          <w:color w:val="000000" w:themeColor="text1"/>
        </w:rPr>
      </w:pPr>
    </w:p>
    <w:p w:rsidR="00534C26" w:rsidRPr="00E30870" w:rsidRDefault="00534C26" w:rsidP="00534C26">
      <w:pPr>
        <w:pStyle w:val="Default"/>
        <w:tabs>
          <w:tab w:val="left" w:pos="7111"/>
        </w:tabs>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rPr>
        <w:t xml:space="preserve"> Le nombre de vers de terre était 1,3 à 3,2 fois supérieur dans les parcelles biologiques comparées aux parcelles conventionnelles (</w:t>
      </w:r>
      <w:proofErr w:type="spellStart"/>
      <w:r w:rsidRPr="00E30870">
        <w:rPr>
          <w:rFonts w:asciiTheme="majorBidi" w:hAnsiTheme="majorBidi" w:cstheme="majorBidi"/>
          <w:color w:val="000000" w:themeColor="text1"/>
        </w:rPr>
        <w:t>Mäder</w:t>
      </w:r>
      <w:proofErr w:type="spellEnd"/>
      <w:r w:rsidRPr="00E30870">
        <w:rPr>
          <w:rFonts w:asciiTheme="majorBidi" w:hAnsiTheme="majorBidi" w:cstheme="majorBidi"/>
          <w:color w:val="000000" w:themeColor="text1"/>
        </w:rPr>
        <w:t xml:space="preserve"> </w:t>
      </w:r>
      <w:r w:rsidRPr="00E30870">
        <w:rPr>
          <w:rFonts w:asciiTheme="majorBidi" w:hAnsiTheme="majorBidi" w:cstheme="majorBidi"/>
          <w:i/>
          <w:iCs/>
          <w:color w:val="000000" w:themeColor="text1"/>
        </w:rPr>
        <w:t xml:space="preserve">et </w:t>
      </w:r>
      <w:proofErr w:type="gramStart"/>
      <w:r w:rsidRPr="00E30870">
        <w:rPr>
          <w:rFonts w:asciiTheme="majorBidi" w:hAnsiTheme="majorBidi" w:cstheme="majorBidi"/>
          <w:i/>
          <w:iCs/>
          <w:color w:val="000000" w:themeColor="text1"/>
        </w:rPr>
        <w:t>al.,</w:t>
      </w:r>
      <w:proofErr w:type="gramEnd"/>
      <w:r w:rsidRPr="00E30870">
        <w:rPr>
          <w:rFonts w:asciiTheme="majorBidi" w:hAnsiTheme="majorBidi" w:cstheme="majorBidi"/>
          <w:i/>
          <w:iCs/>
          <w:color w:val="000000" w:themeColor="text1"/>
        </w:rPr>
        <w:t xml:space="preserve"> </w:t>
      </w:r>
      <w:r w:rsidRPr="00E30870">
        <w:rPr>
          <w:rFonts w:asciiTheme="majorBidi" w:hAnsiTheme="majorBidi" w:cstheme="majorBidi"/>
          <w:color w:val="000000" w:themeColor="text1"/>
        </w:rPr>
        <w:t xml:space="preserve">2002). Les insecticides à large spectre comme les carbamates, les organophosphorés et les </w:t>
      </w:r>
      <w:proofErr w:type="spellStart"/>
      <w:r w:rsidRPr="00E30870">
        <w:rPr>
          <w:rFonts w:asciiTheme="majorBidi" w:hAnsiTheme="majorBidi" w:cstheme="majorBidi"/>
          <w:color w:val="000000" w:themeColor="text1"/>
        </w:rPr>
        <w:t>pyréthroïdes</w:t>
      </w:r>
      <w:proofErr w:type="spellEnd"/>
      <w:r w:rsidRPr="00E30870">
        <w:rPr>
          <w:rFonts w:asciiTheme="majorBidi" w:hAnsiTheme="majorBidi" w:cstheme="majorBidi"/>
          <w:color w:val="000000" w:themeColor="text1"/>
        </w:rPr>
        <w:t xml:space="preserve"> peuvent provoquer le déclin de population d’insectes bénéfiques tels que les abeilles, les araignées et les coléoptères. Beaucoup de ces espèces jouent un rôle important dans le réseau alimentaire ou comme ennemis naturels des insectes nuisibles. Plusieurs hypothèses relient la surmortalité des abeilles connue en Europe, depuis le début des années 2000, à l'emploi de </w:t>
      </w:r>
      <w:proofErr w:type="spellStart"/>
      <w:r w:rsidRPr="00E30870">
        <w:rPr>
          <w:rFonts w:asciiTheme="majorBidi" w:hAnsiTheme="majorBidi" w:cstheme="majorBidi"/>
          <w:color w:val="000000" w:themeColor="text1"/>
        </w:rPr>
        <w:t>néonicotinoïdes</w:t>
      </w:r>
      <w:proofErr w:type="spellEnd"/>
      <w:r w:rsidRPr="00E30870">
        <w:rPr>
          <w:rFonts w:asciiTheme="majorBidi" w:hAnsiTheme="majorBidi" w:cstheme="majorBidi"/>
          <w:color w:val="000000" w:themeColor="text1"/>
        </w:rPr>
        <w:t xml:space="preserve">. La Commission européenne a d’ailleurs proposé aux Etats membres de suspendre pendant deux ans l'utilisation de trois pesticides de la famille des </w:t>
      </w:r>
      <w:hyperlink r:id="rId14" w:tgtFrame="_blank" w:history="1">
        <w:proofErr w:type="spellStart"/>
        <w:r w:rsidRPr="00E30870">
          <w:rPr>
            <w:rStyle w:val="Lienhypertexte"/>
            <w:rFonts w:asciiTheme="majorBidi" w:hAnsiTheme="majorBidi" w:cstheme="majorBidi"/>
            <w:color w:val="000000" w:themeColor="text1"/>
            <w:u w:val="none"/>
          </w:rPr>
          <w:t>néonicotinoïdes</w:t>
        </w:r>
        <w:proofErr w:type="spellEnd"/>
      </w:hyperlink>
      <w:r w:rsidRPr="00E30870">
        <w:rPr>
          <w:rFonts w:asciiTheme="majorBidi" w:hAnsiTheme="majorBidi" w:cstheme="majorBidi"/>
          <w:color w:val="000000" w:themeColor="text1"/>
        </w:rPr>
        <w:t xml:space="preserve"> sur les semences, en granulés et en pulvérisation, pour les plantations qui attirent les </w:t>
      </w:r>
      <w:hyperlink r:id="rId15" w:tgtFrame="_blank" w:history="1">
        <w:r w:rsidRPr="00E30870">
          <w:rPr>
            <w:rStyle w:val="Lienhypertexte"/>
            <w:rFonts w:asciiTheme="majorBidi" w:hAnsiTheme="majorBidi" w:cstheme="majorBidi"/>
            <w:color w:val="000000" w:themeColor="text1"/>
            <w:u w:val="none"/>
          </w:rPr>
          <w:t>abeilles</w:t>
        </w:r>
      </w:hyperlink>
      <w:r w:rsidRPr="00E30870">
        <w:rPr>
          <w:rFonts w:asciiTheme="majorBidi" w:hAnsiTheme="majorBidi" w:cstheme="majorBidi"/>
          <w:color w:val="000000" w:themeColor="text1"/>
        </w:rPr>
        <w:t xml:space="preserve"> (colza, tournesol, maïs et coton). D’après la FAO 71% des espèces cultivées qui fournissent 90% des aliments mondiaux, sont </w:t>
      </w:r>
      <w:proofErr w:type="spellStart"/>
      <w:r w:rsidRPr="00E30870">
        <w:rPr>
          <w:rFonts w:asciiTheme="majorBidi" w:hAnsiTheme="majorBidi" w:cstheme="majorBidi"/>
          <w:color w:val="000000" w:themeColor="text1"/>
        </w:rPr>
        <w:t>polinisées</w:t>
      </w:r>
      <w:proofErr w:type="spellEnd"/>
      <w:r w:rsidRPr="00E30870">
        <w:rPr>
          <w:rFonts w:asciiTheme="majorBidi" w:hAnsiTheme="majorBidi" w:cstheme="majorBidi"/>
          <w:color w:val="000000" w:themeColor="text1"/>
        </w:rPr>
        <w:t xml:space="preserve"> par des abeilles (</w:t>
      </w:r>
      <w:proofErr w:type="spellStart"/>
      <w:r w:rsidRPr="00E30870">
        <w:rPr>
          <w:rFonts w:asciiTheme="majorBidi" w:hAnsiTheme="majorBidi" w:cstheme="majorBidi"/>
          <w:noProof/>
          <w:color w:val="000000" w:themeColor="text1"/>
          <w:lang w:eastAsia="fr-FR"/>
        </w:rPr>
        <w:t>Arbach</w:t>
      </w:r>
      <w:proofErr w:type="spellEnd"/>
      <w:r w:rsidRPr="00E30870">
        <w:rPr>
          <w:rFonts w:asciiTheme="majorBidi" w:hAnsiTheme="majorBidi" w:cstheme="majorBidi"/>
          <w:noProof/>
          <w:color w:val="000000" w:themeColor="text1"/>
          <w:lang w:eastAsia="fr-FR"/>
        </w:rPr>
        <w:t>, 2012</w:t>
      </w:r>
      <w:r w:rsidRPr="00E30870">
        <w:rPr>
          <w:rFonts w:asciiTheme="majorBidi" w:hAnsiTheme="majorBidi" w:cstheme="majorBidi"/>
          <w:color w:val="000000" w:themeColor="text1"/>
        </w:rPr>
        <w:t xml:space="preserve">). </w:t>
      </w:r>
    </w:p>
    <w:p w:rsidR="00534C26" w:rsidRPr="00E30870" w:rsidRDefault="00534C26" w:rsidP="00534C26">
      <w:pPr>
        <w:pStyle w:val="Default"/>
        <w:tabs>
          <w:tab w:val="left" w:pos="7111"/>
        </w:tabs>
        <w:spacing w:line="360" w:lineRule="auto"/>
        <w:ind w:firstLine="360"/>
        <w:jc w:val="both"/>
        <w:rPr>
          <w:rFonts w:asciiTheme="majorBidi" w:hAnsiTheme="majorBidi" w:cstheme="majorBidi"/>
          <w:color w:val="000000" w:themeColor="text1"/>
        </w:rPr>
      </w:pPr>
    </w:p>
    <w:p w:rsidR="00534C26" w:rsidRPr="00E30870" w:rsidRDefault="00534C26" w:rsidP="00534C26">
      <w:pPr>
        <w:pStyle w:val="Default"/>
        <w:tabs>
          <w:tab w:val="left" w:pos="7111"/>
        </w:tabs>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rPr>
        <w:lastRenderedPageBreak/>
        <w:t>Plusieurs études ont montré que l’utilisation intensive des pesticides affecte la fertilité du sol. La longueur des racines de plantes colonisées par les mycorhizes était ainsi 40% plus élevé dans les systèmes biologiques que dans les exploitations conventionnelles (</w:t>
      </w:r>
      <w:proofErr w:type="spellStart"/>
      <w:r w:rsidRPr="00E30870">
        <w:rPr>
          <w:rFonts w:asciiTheme="majorBidi" w:hAnsiTheme="majorBidi" w:cstheme="majorBidi"/>
          <w:color w:val="000000" w:themeColor="text1"/>
        </w:rPr>
        <w:t>Mäder</w:t>
      </w:r>
      <w:proofErr w:type="spellEnd"/>
      <w:r w:rsidRPr="00E30870">
        <w:rPr>
          <w:rFonts w:asciiTheme="majorBidi" w:hAnsiTheme="majorBidi" w:cstheme="majorBidi"/>
          <w:color w:val="000000" w:themeColor="text1"/>
        </w:rPr>
        <w:t xml:space="preserve"> </w:t>
      </w:r>
      <w:r w:rsidRPr="00E30870">
        <w:rPr>
          <w:rFonts w:asciiTheme="majorBidi" w:hAnsiTheme="majorBidi" w:cstheme="majorBidi"/>
          <w:i/>
          <w:iCs/>
          <w:color w:val="000000" w:themeColor="text1"/>
        </w:rPr>
        <w:t xml:space="preserve">et </w:t>
      </w:r>
      <w:proofErr w:type="gramStart"/>
      <w:r w:rsidRPr="00E30870">
        <w:rPr>
          <w:rFonts w:asciiTheme="majorBidi" w:hAnsiTheme="majorBidi" w:cstheme="majorBidi"/>
          <w:i/>
          <w:iCs/>
          <w:color w:val="000000" w:themeColor="text1"/>
        </w:rPr>
        <w:t>al.,</w:t>
      </w:r>
      <w:proofErr w:type="gramEnd"/>
      <w:r w:rsidRPr="00E30870">
        <w:rPr>
          <w:rFonts w:asciiTheme="majorBidi" w:hAnsiTheme="majorBidi" w:cstheme="majorBidi"/>
          <w:i/>
          <w:iCs/>
          <w:color w:val="000000" w:themeColor="text1"/>
        </w:rPr>
        <w:t xml:space="preserve"> </w:t>
      </w:r>
      <w:r w:rsidRPr="00E30870">
        <w:rPr>
          <w:rFonts w:asciiTheme="majorBidi" w:hAnsiTheme="majorBidi" w:cstheme="majorBidi"/>
          <w:color w:val="000000" w:themeColor="text1"/>
        </w:rPr>
        <w:t xml:space="preserve">2002). </w:t>
      </w:r>
      <w:proofErr w:type="spellStart"/>
      <w:r w:rsidRPr="00E30870">
        <w:rPr>
          <w:rFonts w:asciiTheme="majorBidi" w:hAnsiTheme="majorBidi" w:cstheme="majorBidi"/>
          <w:color w:val="000000" w:themeColor="text1"/>
        </w:rPr>
        <w:t>Boldt</w:t>
      </w:r>
      <w:proofErr w:type="spellEnd"/>
      <w:r w:rsidRPr="00E30870">
        <w:rPr>
          <w:rFonts w:asciiTheme="majorBidi" w:hAnsiTheme="majorBidi" w:cstheme="majorBidi"/>
          <w:color w:val="000000" w:themeColor="text1"/>
        </w:rPr>
        <w:t xml:space="preserve"> et Jacobsen. (2006) ont montré aussi que les herbicides </w:t>
      </w:r>
      <w:proofErr w:type="spellStart"/>
      <w:r w:rsidRPr="00E30870">
        <w:rPr>
          <w:rFonts w:asciiTheme="majorBidi" w:hAnsiTheme="majorBidi" w:cstheme="majorBidi"/>
          <w:color w:val="000000" w:themeColor="text1"/>
        </w:rPr>
        <w:t>sulfonylurées</w:t>
      </w:r>
      <w:proofErr w:type="spellEnd"/>
      <w:r w:rsidRPr="00E30870">
        <w:rPr>
          <w:rFonts w:asciiTheme="majorBidi" w:hAnsiTheme="majorBidi" w:cstheme="majorBidi"/>
          <w:color w:val="000000" w:themeColor="text1"/>
        </w:rPr>
        <w:t xml:space="preserve"> </w:t>
      </w:r>
      <w:proofErr w:type="spellStart"/>
      <w:r w:rsidRPr="00E30870">
        <w:rPr>
          <w:rFonts w:asciiTheme="majorBidi" w:hAnsiTheme="majorBidi" w:cstheme="majorBidi"/>
          <w:color w:val="000000" w:themeColor="text1"/>
        </w:rPr>
        <w:t>metsulfuron</w:t>
      </w:r>
      <w:proofErr w:type="spellEnd"/>
      <w:r w:rsidRPr="00E30870">
        <w:rPr>
          <w:rFonts w:asciiTheme="majorBidi" w:hAnsiTheme="majorBidi" w:cstheme="majorBidi"/>
          <w:color w:val="000000" w:themeColor="text1"/>
        </w:rPr>
        <w:t xml:space="preserve"> et dans une moindre mesure le </w:t>
      </w:r>
      <w:proofErr w:type="spellStart"/>
      <w:r w:rsidRPr="00E30870">
        <w:rPr>
          <w:rFonts w:asciiTheme="majorBidi" w:hAnsiTheme="majorBidi" w:cstheme="majorBidi"/>
          <w:color w:val="000000" w:themeColor="text1"/>
        </w:rPr>
        <w:t>chlorsulfuron</w:t>
      </w:r>
      <w:proofErr w:type="spellEnd"/>
      <w:r w:rsidRPr="00E30870">
        <w:rPr>
          <w:rFonts w:asciiTheme="majorBidi" w:hAnsiTheme="majorBidi" w:cstheme="majorBidi"/>
          <w:color w:val="000000" w:themeColor="text1"/>
        </w:rPr>
        <w:t xml:space="preserve"> sont à l’origine d’une réduction de la croissance des bactéries du sol </w:t>
      </w:r>
      <w:proofErr w:type="spellStart"/>
      <w:r w:rsidRPr="00E30870">
        <w:rPr>
          <w:rFonts w:asciiTheme="majorBidi" w:hAnsiTheme="majorBidi" w:cstheme="majorBidi"/>
          <w:i/>
          <w:iCs/>
          <w:color w:val="000000" w:themeColor="text1"/>
        </w:rPr>
        <w:t>Pseudomonas</w:t>
      </w:r>
      <w:proofErr w:type="spellEnd"/>
      <w:r w:rsidRPr="00E30870">
        <w:rPr>
          <w:rFonts w:asciiTheme="majorBidi" w:hAnsiTheme="majorBidi" w:cstheme="majorBidi"/>
          <w:color w:val="000000" w:themeColor="text1"/>
        </w:rPr>
        <w:t>. Par ailleurs, en Afrique du Sud, l’activité des organismes du sol était plus importante dans les sols des vignobles biologiques que dans ceux des sites traités conventionnellement (</w:t>
      </w:r>
      <w:proofErr w:type="spellStart"/>
      <w:r w:rsidRPr="00E30870">
        <w:rPr>
          <w:rFonts w:asciiTheme="majorBidi" w:hAnsiTheme="majorBidi" w:cstheme="majorBidi"/>
          <w:color w:val="000000" w:themeColor="text1"/>
        </w:rPr>
        <w:t>Reinecke</w:t>
      </w:r>
      <w:proofErr w:type="spellEnd"/>
      <w:r w:rsidRPr="00E30870">
        <w:rPr>
          <w:rFonts w:asciiTheme="majorBidi" w:hAnsiTheme="majorBidi" w:cstheme="majorBidi"/>
          <w:color w:val="000000" w:themeColor="text1"/>
        </w:rPr>
        <w:t xml:space="preserve"> </w:t>
      </w:r>
      <w:r w:rsidRPr="00E30870">
        <w:rPr>
          <w:rFonts w:asciiTheme="majorBidi" w:hAnsiTheme="majorBidi" w:cstheme="majorBidi"/>
          <w:i/>
          <w:iCs/>
          <w:color w:val="000000" w:themeColor="text1"/>
        </w:rPr>
        <w:t xml:space="preserve">et </w:t>
      </w:r>
      <w:proofErr w:type="gramStart"/>
      <w:r w:rsidRPr="00E30870">
        <w:rPr>
          <w:rFonts w:asciiTheme="majorBidi" w:hAnsiTheme="majorBidi" w:cstheme="majorBidi"/>
          <w:i/>
          <w:iCs/>
          <w:color w:val="000000" w:themeColor="text1"/>
        </w:rPr>
        <w:t>al.,</w:t>
      </w:r>
      <w:proofErr w:type="gramEnd"/>
      <w:r w:rsidRPr="00E30870">
        <w:rPr>
          <w:rFonts w:asciiTheme="majorBidi" w:hAnsiTheme="majorBidi" w:cstheme="majorBidi"/>
          <w:color w:val="000000" w:themeColor="text1"/>
        </w:rPr>
        <w:t xml:space="preserve"> 2008). Le </w:t>
      </w:r>
      <w:proofErr w:type="spellStart"/>
      <w:r w:rsidRPr="00E30870">
        <w:rPr>
          <w:rFonts w:asciiTheme="majorBidi" w:hAnsiTheme="majorBidi" w:cstheme="majorBidi"/>
          <w:color w:val="000000" w:themeColor="text1"/>
        </w:rPr>
        <w:t>captane</w:t>
      </w:r>
      <w:proofErr w:type="spellEnd"/>
      <w:r w:rsidRPr="00E30870">
        <w:rPr>
          <w:rFonts w:asciiTheme="majorBidi" w:hAnsiTheme="majorBidi" w:cstheme="majorBidi"/>
          <w:color w:val="000000" w:themeColor="text1"/>
        </w:rPr>
        <w:t xml:space="preserve"> (un fongicide) et l’herbicide (</w:t>
      </w:r>
      <w:proofErr w:type="spellStart"/>
      <w:r w:rsidRPr="00E30870">
        <w:rPr>
          <w:rFonts w:asciiTheme="majorBidi" w:hAnsiTheme="majorBidi" w:cstheme="majorBidi"/>
          <w:color w:val="000000" w:themeColor="text1"/>
        </w:rPr>
        <w:t>glyphosate</w:t>
      </w:r>
      <w:proofErr w:type="spellEnd"/>
      <w:r w:rsidRPr="00E30870">
        <w:rPr>
          <w:rFonts w:asciiTheme="majorBidi" w:hAnsiTheme="majorBidi" w:cstheme="majorBidi"/>
          <w:color w:val="000000" w:themeColor="text1"/>
        </w:rPr>
        <w:t>) ont également causé un changement parmi les espèces des communautés bactériennes du sol (</w:t>
      </w:r>
      <w:proofErr w:type="spellStart"/>
      <w:r w:rsidRPr="00E30870">
        <w:rPr>
          <w:rFonts w:asciiTheme="majorBidi" w:hAnsiTheme="majorBidi" w:cstheme="majorBidi"/>
          <w:color w:val="000000" w:themeColor="text1"/>
        </w:rPr>
        <w:t>Widenfalk</w:t>
      </w:r>
      <w:proofErr w:type="spellEnd"/>
      <w:r w:rsidRPr="00E30870">
        <w:rPr>
          <w:rFonts w:asciiTheme="majorBidi" w:hAnsiTheme="majorBidi" w:cstheme="majorBidi"/>
          <w:color w:val="000000" w:themeColor="text1"/>
        </w:rPr>
        <w:t xml:space="preserve"> </w:t>
      </w:r>
      <w:r w:rsidRPr="00E30870">
        <w:rPr>
          <w:rFonts w:asciiTheme="majorBidi" w:hAnsiTheme="majorBidi" w:cstheme="majorBidi"/>
          <w:i/>
          <w:iCs/>
          <w:color w:val="000000" w:themeColor="text1"/>
        </w:rPr>
        <w:t xml:space="preserve">et </w:t>
      </w:r>
      <w:proofErr w:type="gramStart"/>
      <w:r w:rsidRPr="00E30870">
        <w:rPr>
          <w:rFonts w:asciiTheme="majorBidi" w:hAnsiTheme="majorBidi" w:cstheme="majorBidi"/>
          <w:i/>
          <w:iCs/>
          <w:color w:val="000000" w:themeColor="text1"/>
        </w:rPr>
        <w:t>al.,</w:t>
      </w:r>
      <w:proofErr w:type="gramEnd"/>
      <w:r w:rsidRPr="00E30870">
        <w:rPr>
          <w:rFonts w:asciiTheme="majorBidi" w:hAnsiTheme="majorBidi" w:cstheme="majorBidi"/>
          <w:i/>
          <w:iCs/>
          <w:color w:val="000000" w:themeColor="text1"/>
        </w:rPr>
        <w:t xml:space="preserve"> </w:t>
      </w:r>
      <w:r w:rsidRPr="00E30870">
        <w:rPr>
          <w:rFonts w:asciiTheme="majorBidi" w:hAnsiTheme="majorBidi" w:cstheme="majorBidi"/>
          <w:color w:val="000000" w:themeColor="text1"/>
        </w:rPr>
        <w:t xml:space="preserve">2008). Certains insecticides organophosphorés (le </w:t>
      </w:r>
      <w:proofErr w:type="spellStart"/>
      <w:r w:rsidRPr="00E30870">
        <w:rPr>
          <w:rFonts w:asciiTheme="majorBidi" w:hAnsiTheme="majorBidi" w:cstheme="majorBidi"/>
          <w:color w:val="000000" w:themeColor="text1"/>
        </w:rPr>
        <w:t>dimethoate</w:t>
      </w:r>
      <w:proofErr w:type="spellEnd"/>
      <w:r w:rsidRPr="00E30870">
        <w:rPr>
          <w:rFonts w:asciiTheme="majorBidi" w:hAnsiTheme="majorBidi" w:cstheme="majorBidi"/>
          <w:color w:val="000000" w:themeColor="text1"/>
        </w:rPr>
        <w:t xml:space="preserve"> par exemple) peuvent réduire l’activité et la biomasse des micro-organismes de sol (</w:t>
      </w:r>
      <w:proofErr w:type="spellStart"/>
      <w:r w:rsidRPr="00E30870">
        <w:rPr>
          <w:rFonts w:asciiTheme="majorBidi" w:hAnsiTheme="majorBidi" w:cstheme="majorBidi"/>
          <w:color w:val="000000" w:themeColor="text1"/>
        </w:rPr>
        <w:t>Eisenhauer</w:t>
      </w:r>
      <w:proofErr w:type="spellEnd"/>
      <w:r w:rsidRPr="00E30870">
        <w:rPr>
          <w:rFonts w:asciiTheme="majorBidi" w:hAnsiTheme="majorBidi" w:cstheme="majorBidi"/>
          <w:color w:val="000000" w:themeColor="text1"/>
        </w:rPr>
        <w:t xml:space="preserve"> </w:t>
      </w:r>
      <w:r w:rsidRPr="00E30870">
        <w:rPr>
          <w:rFonts w:asciiTheme="majorBidi" w:hAnsiTheme="majorBidi" w:cstheme="majorBidi"/>
          <w:i/>
          <w:iCs/>
          <w:color w:val="000000" w:themeColor="text1"/>
        </w:rPr>
        <w:t xml:space="preserve">et </w:t>
      </w:r>
      <w:proofErr w:type="gramStart"/>
      <w:r w:rsidRPr="00E30870">
        <w:rPr>
          <w:rFonts w:asciiTheme="majorBidi" w:hAnsiTheme="majorBidi" w:cstheme="majorBidi"/>
          <w:i/>
          <w:iCs/>
          <w:color w:val="000000" w:themeColor="text1"/>
        </w:rPr>
        <w:t>al.,</w:t>
      </w:r>
      <w:proofErr w:type="gramEnd"/>
      <w:r w:rsidRPr="00E30870">
        <w:rPr>
          <w:rFonts w:asciiTheme="majorBidi" w:hAnsiTheme="majorBidi" w:cstheme="majorBidi"/>
          <w:i/>
          <w:iCs/>
          <w:color w:val="000000" w:themeColor="text1"/>
        </w:rPr>
        <w:t xml:space="preserve"> </w:t>
      </w:r>
      <w:r w:rsidRPr="00E30870">
        <w:rPr>
          <w:rFonts w:asciiTheme="majorBidi" w:hAnsiTheme="majorBidi" w:cstheme="majorBidi"/>
          <w:color w:val="000000" w:themeColor="text1"/>
        </w:rPr>
        <w:t>2009).</w:t>
      </w:r>
    </w:p>
    <w:p w:rsidR="00534C26" w:rsidRPr="00E30870" w:rsidRDefault="00534C26" w:rsidP="00534C26">
      <w:pPr>
        <w:pStyle w:val="Default"/>
        <w:spacing w:line="360" w:lineRule="auto"/>
        <w:jc w:val="both"/>
        <w:rPr>
          <w:rFonts w:asciiTheme="majorBidi" w:hAnsiTheme="majorBidi" w:cstheme="majorBidi"/>
          <w:b/>
          <w:bCs/>
          <w:color w:val="000000" w:themeColor="text1"/>
        </w:rPr>
      </w:pPr>
    </w:p>
    <w:p w:rsidR="00B41F4E" w:rsidRPr="00E30870" w:rsidRDefault="00057BC1" w:rsidP="00B41F4E">
      <w:pPr>
        <w:autoSpaceDE w:val="0"/>
        <w:autoSpaceDN w:val="0"/>
        <w:adjustRightInd w:val="0"/>
        <w:spacing w:after="0" w:line="360" w:lineRule="auto"/>
        <w:jc w:val="both"/>
        <w:rPr>
          <w:rFonts w:asciiTheme="majorBidi" w:hAnsiTheme="majorBidi" w:cstheme="majorBidi"/>
          <w:b/>
          <w:bCs/>
          <w:color w:val="000000" w:themeColor="text1"/>
          <w:sz w:val="28"/>
          <w:szCs w:val="28"/>
        </w:rPr>
      </w:pPr>
      <w:r w:rsidRPr="00E30870">
        <w:rPr>
          <w:rFonts w:asciiTheme="majorBidi" w:hAnsiTheme="majorBidi" w:cstheme="majorBidi"/>
          <w:b/>
          <w:bCs/>
          <w:color w:val="000000" w:themeColor="text1"/>
          <w:sz w:val="28"/>
          <w:szCs w:val="28"/>
        </w:rPr>
        <w:t xml:space="preserve">2.3- </w:t>
      </w:r>
      <w:r w:rsidR="00534C26" w:rsidRPr="00E30870">
        <w:rPr>
          <w:rFonts w:asciiTheme="majorBidi" w:hAnsiTheme="majorBidi" w:cstheme="majorBidi"/>
          <w:b/>
          <w:bCs/>
          <w:color w:val="000000" w:themeColor="text1"/>
          <w:sz w:val="28"/>
          <w:szCs w:val="28"/>
        </w:rPr>
        <w:t>Gestion des problèmes liés aux pesticides</w:t>
      </w:r>
    </w:p>
    <w:p w:rsidR="00534C26" w:rsidRPr="00E30870" w:rsidRDefault="00534C26" w:rsidP="00534C26">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E30870">
        <w:rPr>
          <w:rFonts w:asciiTheme="majorBidi" w:hAnsiTheme="majorBidi" w:cstheme="majorBidi"/>
          <w:b/>
          <w:bCs/>
          <w:color w:val="000000" w:themeColor="text1"/>
          <w:sz w:val="24"/>
          <w:szCs w:val="24"/>
        </w:rPr>
        <w:t>2.3.1- Conventions et codes du droit international à l’environnement</w:t>
      </w:r>
    </w:p>
    <w:p w:rsidR="00534C26" w:rsidRPr="00E30870" w:rsidRDefault="00534C26" w:rsidP="00B828C8">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Les initiatives de lutte contre les problèmes liés aux pesticides et autres produits chimiques ne datent pas d’hier. Ainsi, elles ont précédé l’émergence du mouvement environnementaliste du début des années 1970. Les pesticides ont occupé une place centrale dans ces premières initiatives, suite à la mise en évidence des risques qu’ils provoquent sur l’environnement, y compris les impacts transfrontières nécessitant une action internationale (Rachel, 1962).</w:t>
      </w:r>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Les années 1970 et 1980 ont vu l’adoption d’un certain nombre de conventions et d’initiatives concernant les produits chimiques en général et les pesticides en particulier, tant au niveau international que régional. Certains de ces accords internationaux sont contraignants pour les pays signataires, d’autres sont par nature volontaires et destinés à fournir des orientations aux gouvernements, aux industriels, à la société civile et aux autres parties prenantes clés. Parmi ces codes et conventions internationaux, on peut citer :</w:t>
      </w:r>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i/>
          <w:iCs/>
          <w:color w:val="000000" w:themeColor="text1"/>
          <w:sz w:val="24"/>
          <w:szCs w:val="24"/>
          <w:u w:val="single"/>
        </w:rPr>
        <w:t>Le Code de conduite international pour la distribution et l’utilisation des pesticides,</w:t>
      </w:r>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élaboré par la FAO et adopté en 1985. Il demeure après sa révision le plus important en matière de gestion des pesticides (</w:t>
      </w:r>
      <w:hyperlink r:id="rId16" w:history="1">
        <w:r w:rsidRPr="00E30870">
          <w:rPr>
            <w:rStyle w:val="Lienhypertexte"/>
            <w:rFonts w:asciiTheme="majorBidi" w:hAnsiTheme="majorBidi" w:cstheme="majorBidi"/>
            <w:color w:val="000000" w:themeColor="text1"/>
            <w:sz w:val="24"/>
            <w:szCs w:val="24"/>
            <w:u w:val="none"/>
          </w:rPr>
          <w:t>FAO,</w:t>
        </w:r>
      </w:hyperlink>
      <w:r w:rsidRPr="00E30870">
        <w:rPr>
          <w:rFonts w:asciiTheme="majorBidi" w:hAnsiTheme="majorBidi" w:cstheme="majorBidi"/>
          <w:color w:val="000000" w:themeColor="text1"/>
          <w:sz w:val="24"/>
          <w:szCs w:val="24"/>
        </w:rPr>
        <w:t xml:space="preserve"> 2002); </w:t>
      </w:r>
      <w:r w:rsidRPr="00E30870">
        <w:rPr>
          <w:rFonts w:asciiTheme="majorBidi" w:hAnsiTheme="majorBidi" w:cstheme="majorBidi"/>
          <w:i/>
          <w:iCs/>
          <w:color w:val="000000" w:themeColor="text1"/>
          <w:sz w:val="24"/>
          <w:szCs w:val="24"/>
          <w:u w:val="single"/>
        </w:rPr>
        <w:t>La Conférence des Nations Unies sur l’environnement et le développement de 1992</w:t>
      </w:r>
      <w:r w:rsidRPr="00E30870">
        <w:rPr>
          <w:rFonts w:asciiTheme="majorBidi" w:hAnsiTheme="majorBidi" w:cstheme="majorBidi"/>
          <w:color w:val="000000" w:themeColor="text1"/>
          <w:sz w:val="24"/>
          <w:szCs w:val="24"/>
        </w:rPr>
        <w:t>, à Rio de Janeiro. Le Sommet de Rio vise principalement à travers ses objectifs à assurer un développement</w:t>
      </w:r>
      <w:r w:rsidRPr="00E30870">
        <w:rPr>
          <w:rFonts w:asciiTheme="majorBidi" w:hAnsiTheme="majorBidi" w:cstheme="majorBidi"/>
          <w:b/>
          <w:bCs/>
          <w:color w:val="000000" w:themeColor="text1"/>
          <w:sz w:val="24"/>
          <w:szCs w:val="24"/>
        </w:rPr>
        <w:t xml:space="preserve"> </w:t>
      </w:r>
      <w:r w:rsidRPr="00E30870">
        <w:rPr>
          <w:rFonts w:asciiTheme="majorBidi" w:hAnsiTheme="majorBidi" w:cstheme="majorBidi"/>
          <w:color w:val="000000" w:themeColor="text1"/>
          <w:sz w:val="24"/>
          <w:szCs w:val="24"/>
        </w:rPr>
        <w:t xml:space="preserve">durable y compris le développement agricole durable, par la mise en œuvre du  programme appelé </w:t>
      </w:r>
      <w:r w:rsidR="00B828C8" w:rsidRPr="00E30870">
        <w:rPr>
          <w:rFonts w:asciiTheme="majorBidi" w:hAnsiTheme="majorBidi" w:cstheme="majorBidi"/>
          <w:color w:val="000000" w:themeColor="text1"/>
          <w:sz w:val="24"/>
          <w:szCs w:val="24"/>
        </w:rPr>
        <w:t>« </w:t>
      </w:r>
      <w:r w:rsidRPr="00E30870">
        <w:rPr>
          <w:rFonts w:asciiTheme="majorBidi" w:hAnsiTheme="majorBidi" w:cstheme="majorBidi"/>
          <w:color w:val="000000" w:themeColor="text1"/>
          <w:sz w:val="24"/>
          <w:szCs w:val="24"/>
        </w:rPr>
        <w:t>Agenda 21</w:t>
      </w:r>
      <w:r w:rsidR="00B828C8" w:rsidRPr="00E30870">
        <w:rPr>
          <w:rFonts w:asciiTheme="majorBidi" w:hAnsiTheme="majorBidi" w:cstheme="majorBidi"/>
          <w:color w:val="000000" w:themeColor="text1"/>
          <w:sz w:val="24"/>
          <w:szCs w:val="24"/>
        </w:rPr>
        <w:t> »</w:t>
      </w:r>
      <w:r w:rsidRPr="00E30870">
        <w:rPr>
          <w:rFonts w:asciiTheme="majorBidi" w:hAnsiTheme="majorBidi" w:cstheme="majorBidi"/>
          <w:color w:val="000000" w:themeColor="text1"/>
          <w:sz w:val="24"/>
          <w:szCs w:val="24"/>
        </w:rPr>
        <w:t xml:space="preserve"> présenté dans le chapitre14 (</w:t>
      </w:r>
      <w:hyperlink r:id="rId17" w:history="1">
        <w:r w:rsidRPr="00E30870">
          <w:rPr>
            <w:rStyle w:val="Lienhypertexte"/>
            <w:rFonts w:asciiTheme="majorBidi" w:hAnsiTheme="majorBidi" w:cstheme="majorBidi"/>
            <w:color w:val="000000" w:themeColor="text1"/>
            <w:sz w:val="24"/>
            <w:szCs w:val="24"/>
            <w:u w:val="none"/>
          </w:rPr>
          <w:t>UNEP,</w:t>
        </w:r>
      </w:hyperlink>
      <w:r w:rsidRPr="00E30870">
        <w:rPr>
          <w:rFonts w:asciiTheme="majorBidi" w:hAnsiTheme="majorBidi" w:cstheme="majorBidi"/>
          <w:color w:val="000000" w:themeColor="text1"/>
          <w:sz w:val="24"/>
          <w:szCs w:val="24"/>
        </w:rPr>
        <w:t xml:space="preserve"> 2013) ; </w:t>
      </w:r>
      <w:r w:rsidRPr="00E30870">
        <w:rPr>
          <w:rFonts w:asciiTheme="majorBidi" w:hAnsiTheme="majorBidi" w:cstheme="majorBidi"/>
          <w:i/>
          <w:iCs/>
          <w:color w:val="000000" w:themeColor="text1"/>
          <w:sz w:val="24"/>
          <w:szCs w:val="24"/>
          <w:u w:val="single"/>
        </w:rPr>
        <w:t>La Convention de Rotterdam</w:t>
      </w:r>
      <w:r w:rsidRPr="00E30870">
        <w:rPr>
          <w:rFonts w:asciiTheme="majorBidi" w:hAnsiTheme="majorBidi" w:cstheme="majorBidi"/>
          <w:color w:val="000000" w:themeColor="text1"/>
          <w:sz w:val="24"/>
          <w:szCs w:val="24"/>
        </w:rPr>
        <w:t xml:space="preserve">, adoptée en 1998 et mise en vigueur en 2004 (Anonyme 2); </w:t>
      </w:r>
      <w:r w:rsidRPr="00E30870">
        <w:rPr>
          <w:rFonts w:asciiTheme="majorBidi" w:hAnsiTheme="majorBidi" w:cstheme="majorBidi"/>
          <w:i/>
          <w:iCs/>
          <w:color w:val="000000" w:themeColor="text1"/>
          <w:sz w:val="24"/>
          <w:szCs w:val="24"/>
          <w:u w:val="single"/>
        </w:rPr>
        <w:t xml:space="preserve">La Convention de </w:t>
      </w:r>
      <w:r w:rsidRPr="00E30870">
        <w:rPr>
          <w:rFonts w:asciiTheme="majorBidi" w:hAnsiTheme="majorBidi" w:cstheme="majorBidi"/>
          <w:i/>
          <w:iCs/>
          <w:color w:val="000000" w:themeColor="text1"/>
          <w:sz w:val="24"/>
          <w:szCs w:val="24"/>
          <w:u w:val="single"/>
        </w:rPr>
        <w:lastRenderedPageBreak/>
        <w:t>Stockholm</w:t>
      </w:r>
      <w:r w:rsidRPr="00E30870">
        <w:rPr>
          <w:rFonts w:asciiTheme="majorBidi" w:hAnsiTheme="majorBidi" w:cstheme="majorBidi"/>
          <w:color w:val="000000" w:themeColor="text1"/>
          <w:sz w:val="24"/>
          <w:szCs w:val="24"/>
        </w:rPr>
        <w:t xml:space="preserve"> sur les polluants organiques persistants (POP) a été agréée en 2001 et mise en vigueur en 2004 (Anonyme 3); et</w:t>
      </w:r>
      <w:r w:rsidRPr="00E30870">
        <w:rPr>
          <w:rFonts w:asciiTheme="majorBidi" w:hAnsiTheme="majorBidi" w:cstheme="majorBidi"/>
          <w:i/>
          <w:iCs/>
          <w:color w:val="000000" w:themeColor="text1"/>
          <w:sz w:val="24"/>
          <w:szCs w:val="24"/>
        </w:rPr>
        <w:t xml:space="preserve"> </w:t>
      </w:r>
      <w:r w:rsidR="00B828C8" w:rsidRPr="00E30870">
        <w:rPr>
          <w:rFonts w:asciiTheme="majorBidi" w:hAnsiTheme="majorBidi" w:cstheme="majorBidi"/>
          <w:i/>
          <w:iCs/>
          <w:color w:val="000000" w:themeColor="text1"/>
          <w:sz w:val="24"/>
          <w:szCs w:val="24"/>
          <w:u w:val="single"/>
        </w:rPr>
        <w:t>l</w:t>
      </w:r>
      <w:r w:rsidRPr="00E30870">
        <w:rPr>
          <w:rFonts w:asciiTheme="majorBidi" w:hAnsiTheme="majorBidi" w:cstheme="majorBidi"/>
          <w:i/>
          <w:iCs/>
          <w:color w:val="000000" w:themeColor="text1"/>
          <w:sz w:val="24"/>
          <w:szCs w:val="24"/>
          <w:u w:val="single"/>
        </w:rPr>
        <w:t>e Sommet mondial sur le développement durable de 2002</w:t>
      </w:r>
      <w:r w:rsidRPr="00E30870">
        <w:rPr>
          <w:rFonts w:asciiTheme="majorBidi" w:hAnsiTheme="majorBidi" w:cstheme="majorBidi"/>
          <w:color w:val="000000" w:themeColor="text1"/>
          <w:sz w:val="24"/>
          <w:szCs w:val="24"/>
        </w:rPr>
        <w:t xml:space="preserve"> qui a donné naissance à l’approche stratégique de la gestion internationale des produits chimiques (SAICM) du PNUE, adoptée à Dubaï en 2006. La SAICM est un mécanisme volontaire général, toujours en cours d’élaboration (</w:t>
      </w:r>
      <w:hyperlink r:id="rId18" w:history="1">
        <w:r w:rsidRPr="00E30870">
          <w:rPr>
            <w:rStyle w:val="Lienhypertexte"/>
            <w:rFonts w:asciiTheme="majorBidi" w:hAnsiTheme="majorBidi" w:cstheme="majorBidi"/>
            <w:color w:val="000000" w:themeColor="text1"/>
            <w:sz w:val="24"/>
            <w:szCs w:val="24"/>
            <w:u w:val="none"/>
          </w:rPr>
          <w:t>FAO, 2013</w:t>
        </w:r>
      </w:hyperlink>
      <w:r w:rsidRPr="00E30870">
        <w:rPr>
          <w:rFonts w:asciiTheme="majorBidi" w:hAnsiTheme="majorBidi" w:cstheme="majorBidi"/>
          <w:color w:val="000000" w:themeColor="text1"/>
          <w:sz w:val="24"/>
          <w:szCs w:val="24"/>
        </w:rPr>
        <w:t>).</w:t>
      </w:r>
    </w:p>
    <w:p w:rsidR="00B41F4E" w:rsidRPr="00E30870" w:rsidRDefault="00B41F4E" w:rsidP="00B828C8">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534C26" w:rsidRPr="00E30870" w:rsidRDefault="00057BC1" w:rsidP="00057BC1">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E30870">
        <w:rPr>
          <w:rFonts w:asciiTheme="majorBidi" w:hAnsiTheme="majorBidi" w:cstheme="majorBidi"/>
          <w:b/>
          <w:bCs/>
          <w:color w:val="000000" w:themeColor="text1"/>
          <w:sz w:val="24"/>
          <w:szCs w:val="24"/>
        </w:rPr>
        <w:t xml:space="preserve">2.3.2- </w:t>
      </w:r>
      <w:r w:rsidR="00534C26" w:rsidRPr="00E30870">
        <w:rPr>
          <w:rFonts w:asciiTheme="majorBidi" w:hAnsiTheme="majorBidi" w:cstheme="majorBidi"/>
          <w:b/>
          <w:bCs/>
          <w:color w:val="000000" w:themeColor="text1"/>
          <w:sz w:val="24"/>
          <w:szCs w:val="24"/>
        </w:rPr>
        <w:t xml:space="preserve">Législations régissant les  pesticides </w:t>
      </w:r>
    </w:p>
    <w:p w:rsidR="00534C26" w:rsidRPr="00E30870" w:rsidRDefault="00B0070C" w:rsidP="00B0070C">
      <w:pPr>
        <w:autoSpaceDE w:val="0"/>
        <w:autoSpaceDN w:val="0"/>
        <w:adjustRightInd w:val="0"/>
        <w:spacing w:after="0" w:line="360" w:lineRule="auto"/>
        <w:jc w:val="both"/>
        <w:rPr>
          <w:rFonts w:asciiTheme="majorBidi" w:hAnsiTheme="majorBidi" w:cstheme="majorBidi"/>
          <w:i/>
          <w:iCs/>
          <w:color w:val="000000" w:themeColor="text1"/>
          <w:sz w:val="24"/>
          <w:szCs w:val="24"/>
        </w:rPr>
      </w:pPr>
      <w:r w:rsidRPr="00E30870">
        <w:rPr>
          <w:rFonts w:asciiTheme="majorBidi" w:hAnsiTheme="majorBidi" w:cstheme="majorBidi"/>
          <w:i/>
          <w:iCs/>
          <w:color w:val="000000" w:themeColor="text1"/>
          <w:sz w:val="24"/>
          <w:szCs w:val="24"/>
        </w:rPr>
        <w:t xml:space="preserve">2.3.2.1- </w:t>
      </w:r>
      <w:r w:rsidR="00534C26" w:rsidRPr="00E30870">
        <w:rPr>
          <w:rFonts w:asciiTheme="majorBidi" w:hAnsiTheme="majorBidi" w:cstheme="majorBidi"/>
          <w:i/>
          <w:iCs/>
          <w:color w:val="000000" w:themeColor="text1"/>
          <w:sz w:val="24"/>
          <w:szCs w:val="24"/>
        </w:rPr>
        <w:t>L’union Européenne </w:t>
      </w:r>
    </w:p>
    <w:p w:rsidR="00534C26" w:rsidRPr="00E30870" w:rsidRDefault="00534C26" w:rsidP="00534C26">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E30870">
        <w:rPr>
          <w:rFonts w:asciiTheme="majorBidi" w:hAnsiTheme="majorBidi" w:cstheme="majorBidi"/>
          <w:color w:val="000000" w:themeColor="text1"/>
          <w:sz w:val="24"/>
          <w:szCs w:val="24"/>
        </w:rPr>
        <w:t>Dans le cadre d'un programme de travail ambitieux démarré en 1992, la Commission Européenne a lancé au niveau communautaire une vaste opération de révision de toutes les substances actives entrant dans la composition des produits phytopharmaceutiques. Depuis fin 2003, les questions d'évaluation des risques sont traitées par la nouvelle Autorité Européenne de Sécurité des Aliments (EFSA), qui émet des avis et des conseils scientifiques afin de fournir des bases solides aux politiques et à la législation Européennes et aider la commission Européenne, le parlement Européen et les états membres de l’</w:t>
      </w:r>
      <w:r w:rsidR="00B0070C" w:rsidRPr="00E30870">
        <w:rPr>
          <w:rFonts w:asciiTheme="majorBidi" w:hAnsiTheme="majorBidi" w:cstheme="majorBidi"/>
          <w:color w:val="000000" w:themeColor="text1"/>
          <w:sz w:val="24"/>
          <w:szCs w:val="24"/>
        </w:rPr>
        <w:t>union Européenne (</w:t>
      </w:r>
      <w:r w:rsidRPr="00E30870">
        <w:rPr>
          <w:rFonts w:asciiTheme="majorBidi" w:hAnsiTheme="majorBidi" w:cstheme="majorBidi"/>
          <w:color w:val="000000" w:themeColor="text1"/>
          <w:sz w:val="24"/>
          <w:szCs w:val="24"/>
        </w:rPr>
        <w:t>UE</w:t>
      </w:r>
      <w:r w:rsidR="00B0070C" w:rsidRPr="00E30870">
        <w:rPr>
          <w:rFonts w:asciiTheme="majorBidi" w:hAnsiTheme="majorBidi" w:cstheme="majorBidi"/>
          <w:color w:val="000000" w:themeColor="text1"/>
          <w:sz w:val="24"/>
          <w:szCs w:val="24"/>
        </w:rPr>
        <w:t>)</w:t>
      </w:r>
      <w:r w:rsidRPr="00E30870">
        <w:rPr>
          <w:rFonts w:asciiTheme="majorBidi" w:hAnsiTheme="majorBidi" w:cstheme="majorBidi"/>
          <w:color w:val="000000" w:themeColor="text1"/>
          <w:sz w:val="24"/>
          <w:szCs w:val="24"/>
        </w:rPr>
        <w:t xml:space="preserve"> à arrêter des décisions efficaces et opportunes en matière de gestion des risques. </w:t>
      </w:r>
      <w:r w:rsidRPr="00E30870">
        <w:rPr>
          <w:rStyle w:val="hps"/>
          <w:rFonts w:asciiTheme="majorBidi" w:hAnsiTheme="majorBidi" w:cstheme="majorBidi"/>
          <w:color w:val="000000" w:themeColor="text1"/>
          <w:sz w:val="24"/>
          <w:szCs w:val="24"/>
        </w:rPr>
        <w:t>La législation Européenne</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sur les pesticides</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a été</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réformée en profondeur</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à travers le</w:t>
      </w:r>
      <w:r w:rsidRPr="00E30870">
        <w:rPr>
          <w:rFonts w:asciiTheme="majorBidi" w:hAnsiTheme="majorBidi" w:cstheme="majorBidi"/>
          <w:color w:val="000000" w:themeColor="text1"/>
          <w:sz w:val="24"/>
          <w:szCs w:val="24"/>
        </w:rPr>
        <w:t xml:space="preserve"> « paquet pesticides » adopté le 21 octobre 2009, ce règlement est entré en vigueur le 14 juin 2011. Ce paquet législatif contient le règlement </w:t>
      </w:r>
      <w:r w:rsidRPr="00E30870">
        <w:rPr>
          <w:rFonts w:asciiTheme="majorBidi" w:hAnsiTheme="majorBidi" w:cstheme="majorBidi"/>
          <w:i/>
          <w:iCs/>
          <w:color w:val="000000" w:themeColor="text1"/>
          <w:sz w:val="24"/>
          <w:szCs w:val="24"/>
          <w:u w:val="single"/>
        </w:rPr>
        <w:t>(CE) n°1107/2009</w:t>
      </w:r>
      <w:r w:rsidRPr="00E30870">
        <w:rPr>
          <w:rFonts w:asciiTheme="majorBidi" w:hAnsiTheme="majorBidi" w:cstheme="majorBidi"/>
          <w:color w:val="000000" w:themeColor="text1"/>
          <w:sz w:val="24"/>
          <w:szCs w:val="24"/>
        </w:rPr>
        <w:t xml:space="preserve">, relatif à la mise sur le marché et l’évaluation des produits phytopharmaceutiques; </w:t>
      </w:r>
      <w:r w:rsidRPr="00E30870">
        <w:rPr>
          <w:rFonts w:asciiTheme="majorBidi" w:hAnsiTheme="majorBidi" w:cstheme="majorBidi"/>
          <w:i/>
          <w:iCs/>
          <w:color w:val="000000" w:themeColor="text1"/>
          <w:sz w:val="24"/>
          <w:szCs w:val="24"/>
          <w:u w:val="single"/>
        </w:rPr>
        <w:t>la directive 2009/128/CE</w:t>
      </w:r>
      <w:r w:rsidRPr="00E30870">
        <w:rPr>
          <w:rFonts w:asciiTheme="majorBidi" w:hAnsiTheme="majorBidi" w:cstheme="majorBidi"/>
          <w:color w:val="000000" w:themeColor="text1"/>
          <w:sz w:val="24"/>
          <w:szCs w:val="24"/>
        </w:rPr>
        <w:t xml:space="preserve"> instaurant un cadre communautaire d’action pour parvenir à une utilisation des pesticides compatible avec le développement durable ; </w:t>
      </w:r>
      <w:r w:rsidRPr="00E30870">
        <w:rPr>
          <w:rFonts w:asciiTheme="majorBidi" w:hAnsiTheme="majorBidi" w:cstheme="majorBidi"/>
          <w:i/>
          <w:iCs/>
          <w:color w:val="000000" w:themeColor="text1"/>
          <w:sz w:val="24"/>
          <w:szCs w:val="24"/>
          <w:u w:val="single"/>
        </w:rPr>
        <w:t>la directive 2009/127/CE</w:t>
      </w:r>
      <w:r w:rsidRPr="00E30870">
        <w:rPr>
          <w:rFonts w:asciiTheme="majorBidi" w:hAnsiTheme="majorBidi" w:cstheme="majorBidi"/>
          <w:color w:val="000000" w:themeColor="text1"/>
          <w:sz w:val="24"/>
          <w:szCs w:val="24"/>
        </w:rPr>
        <w:t xml:space="preserve"> concernant les machines destinées à l’application des pesticides; et </w:t>
      </w:r>
      <w:r w:rsidRPr="00E30870">
        <w:rPr>
          <w:rFonts w:asciiTheme="majorBidi" w:hAnsiTheme="majorBidi" w:cstheme="majorBidi"/>
          <w:i/>
          <w:iCs/>
          <w:color w:val="000000" w:themeColor="text1"/>
          <w:sz w:val="24"/>
          <w:szCs w:val="24"/>
          <w:u w:val="single"/>
        </w:rPr>
        <w:t>le règlement (CE) n°1185/2009</w:t>
      </w:r>
      <w:r w:rsidRPr="00E30870">
        <w:rPr>
          <w:rFonts w:asciiTheme="majorBidi" w:hAnsiTheme="majorBidi" w:cstheme="majorBidi"/>
          <w:color w:val="000000" w:themeColor="text1"/>
          <w:sz w:val="24"/>
          <w:szCs w:val="24"/>
        </w:rPr>
        <w:t xml:space="preserve"> relatif aux statistiques. D’autres lois ont été mises en place, elles concernent l’emballage et l’étiquetage des préparations dangereuses y compris les pesticides </w:t>
      </w:r>
      <w:r w:rsidRPr="00E30870">
        <w:rPr>
          <w:rFonts w:asciiTheme="majorBidi" w:hAnsiTheme="majorBidi" w:cstheme="majorBidi"/>
          <w:i/>
          <w:iCs/>
          <w:color w:val="000000" w:themeColor="text1"/>
          <w:sz w:val="24"/>
          <w:szCs w:val="24"/>
          <w:u w:val="single"/>
        </w:rPr>
        <w:t>(EC, N° 1272/2008);</w:t>
      </w:r>
      <w:r w:rsidRPr="00E30870">
        <w:rPr>
          <w:rFonts w:asciiTheme="majorBidi" w:hAnsiTheme="majorBidi" w:cstheme="majorBidi"/>
          <w:color w:val="000000" w:themeColor="text1"/>
          <w:sz w:val="24"/>
          <w:szCs w:val="24"/>
        </w:rPr>
        <w:t xml:space="preserve"> l’usage de pesticides dans l’agriculture biologique </w:t>
      </w:r>
      <w:r w:rsidRPr="00E30870">
        <w:rPr>
          <w:rFonts w:asciiTheme="majorBidi" w:hAnsiTheme="majorBidi" w:cstheme="majorBidi"/>
          <w:i/>
          <w:iCs/>
          <w:color w:val="000000" w:themeColor="text1"/>
          <w:sz w:val="24"/>
          <w:szCs w:val="24"/>
          <w:u w:val="single"/>
        </w:rPr>
        <w:t>(EC/889/2008)</w:t>
      </w:r>
      <w:r w:rsidRPr="00E30870">
        <w:rPr>
          <w:rFonts w:asciiTheme="majorBidi" w:hAnsiTheme="majorBidi" w:cstheme="majorBidi"/>
          <w:color w:val="000000" w:themeColor="text1"/>
          <w:sz w:val="24"/>
          <w:szCs w:val="24"/>
        </w:rPr>
        <w:t xml:space="preserve"> et les pesticides dans les aliments végétaux, animaux et l’eau </w:t>
      </w:r>
      <w:r w:rsidRPr="00E30870">
        <w:rPr>
          <w:rFonts w:asciiTheme="majorBidi" w:hAnsiTheme="majorBidi" w:cstheme="majorBidi"/>
          <w:i/>
          <w:iCs/>
          <w:color w:val="000000" w:themeColor="text1"/>
          <w:sz w:val="24"/>
          <w:szCs w:val="24"/>
          <w:u w:val="single"/>
        </w:rPr>
        <w:t>(EC.2000/60, EC.2008/105 et EC.98/83, respectivement).</w:t>
      </w:r>
      <w:r w:rsidRPr="00E30870">
        <w:rPr>
          <w:rFonts w:asciiTheme="majorBidi" w:hAnsiTheme="majorBidi" w:cstheme="majorBidi"/>
          <w:color w:val="000000" w:themeColor="text1"/>
          <w:sz w:val="24"/>
          <w:szCs w:val="24"/>
        </w:rPr>
        <w:t xml:space="preserve"> L’UE exige que les aliments vendus sur le marché ne doivent pas contenir des doses de résidus de pesticides qui dépassent les LMR (limites maximales de résidus), listé dans la régulation </w:t>
      </w:r>
      <w:r w:rsidRPr="00E30870">
        <w:rPr>
          <w:rFonts w:asciiTheme="majorBidi" w:hAnsiTheme="majorBidi" w:cstheme="majorBidi"/>
          <w:i/>
          <w:iCs/>
          <w:color w:val="000000" w:themeColor="text1"/>
          <w:sz w:val="24"/>
          <w:szCs w:val="24"/>
          <w:u w:val="single"/>
        </w:rPr>
        <w:t>(EC) 396/2005</w:t>
      </w:r>
      <w:r w:rsidRPr="00E30870">
        <w:rPr>
          <w:rFonts w:asciiTheme="majorBidi" w:hAnsiTheme="majorBidi" w:cstheme="majorBidi"/>
          <w:color w:val="000000" w:themeColor="text1"/>
          <w:sz w:val="24"/>
          <w:szCs w:val="24"/>
        </w:rPr>
        <w:t xml:space="preserve"> et déterminées par l’EFSA. Toutes les </w:t>
      </w:r>
      <w:proofErr w:type="spellStart"/>
      <w:r w:rsidRPr="00E30870">
        <w:rPr>
          <w:rFonts w:asciiTheme="majorBidi" w:hAnsiTheme="majorBidi" w:cstheme="majorBidi"/>
          <w:color w:val="000000" w:themeColor="text1"/>
          <w:sz w:val="24"/>
          <w:szCs w:val="24"/>
        </w:rPr>
        <w:t>LMRs</w:t>
      </w:r>
      <w:proofErr w:type="spellEnd"/>
      <w:r w:rsidRPr="00E30870">
        <w:rPr>
          <w:rFonts w:asciiTheme="majorBidi" w:hAnsiTheme="majorBidi" w:cstheme="majorBidi"/>
          <w:color w:val="000000" w:themeColor="text1"/>
          <w:sz w:val="24"/>
          <w:szCs w:val="24"/>
        </w:rPr>
        <w:t xml:space="preserve"> Européennes peuvent facilement être recherchées dans la base de données des </w:t>
      </w:r>
      <w:proofErr w:type="spellStart"/>
      <w:r w:rsidRPr="00E30870">
        <w:rPr>
          <w:rFonts w:asciiTheme="majorBidi" w:hAnsiTheme="majorBidi" w:cstheme="majorBidi"/>
          <w:color w:val="000000" w:themeColor="text1"/>
          <w:sz w:val="24"/>
          <w:szCs w:val="24"/>
        </w:rPr>
        <w:t>LMRs</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noProof/>
          <w:color w:val="000000" w:themeColor="text1"/>
          <w:sz w:val="24"/>
          <w:szCs w:val="24"/>
        </w:rPr>
        <w:t>Arbach</w:t>
      </w:r>
      <w:proofErr w:type="spellEnd"/>
      <w:r w:rsidRPr="00E30870">
        <w:rPr>
          <w:rFonts w:asciiTheme="majorBidi" w:hAnsiTheme="majorBidi" w:cstheme="majorBidi"/>
          <w:noProof/>
          <w:color w:val="000000" w:themeColor="text1"/>
          <w:sz w:val="24"/>
          <w:szCs w:val="24"/>
        </w:rPr>
        <w:t>, 2012).</w:t>
      </w:r>
    </w:p>
    <w:p w:rsidR="000F6951" w:rsidRPr="00E30870" w:rsidRDefault="000F6951" w:rsidP="00534C26">
      <w:pPr>
        <w:autoSpaceDE w:val="0"/>
        <w:autoSpaceDN w:val="0"/>
        <w:adjustRightInd w:val="0"/>
        <w:spacing w:after="0" w:line="360" w:lineRule="auto"/>
        <w:jc w:val="both"/>
        <w:rPr>
          <w:rFonts w:asciiTheme="majorBidi" w:hAnsiTheme="majorBidi" w:cstheme="majorBidi"/>
          <w:noProof/>
          <w:color w:val="000000" w:themeColor="text1"/>
          <w:sz w:val="24"/>
          <w:szCs w:val="24"/>
        </w:rPr>
      </w:pPr>
    </w:p>
    <w:p w:rsidR="000F6951" w:rsidRPr="00E30870" w:rsidRDefault="000F6951" w:rsidP="00534C26">
      <w:pPr>
        <w:autoSpaceDE w:val="0"/>
        <w:autoSpaceDN w:val="0"/>
        <w:adjustRightInd w:val="0"/>
        <w:spacing w:after="0" w:line="360" w:lineRule="auto"/>
        <w:jc w:val="both"/>
        <w:rPr>
          <w:rFonts w:asciiTheme="majorBidi" w:hAnsiTheme="majorBidi" w:cstheme="majorBidi"/>
          <w:color w:val="000000" w:themeColor="text1"/>
          <w:sz w:val="24"/>
          <w:szCs w:val="24"/>
        </w:rPr>
      </w:pPr>
    </w:p>
    <w:p w:rsidR="00534C26" w:rsidRPr="00E30870" w:rsidRDefault="000F6951" w:rsidP="000F6951">
      <w:pPr>
        <w:autoSpaceDE w:val="0"/>
        <w:autoSpaceDN w:val="0"/>
        <w:adjustRightInd w:val="0"/>
        <w:spacing w:after="0" w:line="360" w:lineRule="auto"/>
        <w:jc w:val="both"/>
        <w:rPr>
          <w:rFonts w:asciiTheme="majorBidi" w:hAnsiTheme="majorBidi" w:cstheme="majorBidi"/>
          <w:i/>
          <w:iCs/>
          <w:noProof/>
          <w:color w:val="000000" w:themeColor="text1"/>
        </w:rPr>
      </w:pPr>
      <w:r w:rsidRPr="00E30870">
        <w:rPr>
          <w:rFonts w:asciiTheme="majorBidi" w:hAnsiTheme="majorBidi" w:cstheme="majorBidi"/>
          <w:i/>
          <w:iCs/>
          <w:color w:val="000000" w:themeColor="text1"/>
          <w:sz w:val="24"/>
          <w:szCs w:val="24"/>
        </w:rPr>
        <w:lastRenderedPageBreak/>
        <w:t xml:space="preserve">2.3.2.1- </w:t>
      </w:r>
      <w:r w:rsidR="00534C26" w:rsidRPr="00E30870">
        <w:rPr>
          <w:rFonts w:asciiTheme="majorBidi" w:hAnsiTheme="majorBidi" w:cstheme="majorBidi"/>
          <w:i/>
          <w:iCs/>
          <w:noProof/>
          <w:color w:val="000000" w:themeColor="text1"/>
        </w:rPr>
        <w:t xml:space="preserve">L’Algérie </w:t>
      </w:r>
    </w:p>
    <w:p w:rsidR="00534C26" w:rsidRPr="00E30870" w:rsidRDefault="00534C26" w:rsidP="000D0CBB">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 xml:space="preserve">L’Algérie, partie prenante, dès le début du processus de négociation des Conférences Internationales des Nations Unies sur l’Environnement et le Développement Durable, contribue à la promotion d’un développement durable respectueux de l’environnement mondial. L’engagement du gouvernement Algérien pour une gestion rationnelle des ressources naturelles est évident, via le renforcement du cadre législatif et institutionnel et aux nombreux programmes lancés en matière d’éducation environnementale. L’encadrement des risques liés à l’exposition et à l’utilisation des substances chimiques en agriculture, repose sur l’enregistrement et le contrôle par les services du gouvernement, conformément aux dispositifs législatifs et réglementaires en place, notamment: </w:t>
      </w:r>
      <w:r w:rsidRPr="00E30870">
        <w:rPr>
          <w:rFonts w:asciiTheme="majorBidi" w:hAnsiTheme="majorBidi" w:cstheme="majorBidi"/>
          <w:i/>
          <w:iCs/>
          <w:color w:val="000000" w:themeColor="text1"/>
          <w:sz w:val="24"/>
          <w:szCs w:val="24"/>
          <w:u w:val="single"/>
        </w:rPr>
        <w:t>la loi n°85-05</w:t>
      </w:r>
      <w:r w:rsidRPr="00E30870">
        <w:rPr>
          <w:rFonts w:asciiTheme="majorBidi" w:hAnsiTheme="majorBidi" w:cstheme="majorBidi"/>
          <w:color w:val="000000" w:themeColor="text1"/>
          <w:sz w:val="24"/>
          <w:szCs w:val="24"/>
        </w:rPr>
        <w:t xml:space="preserve"> du 16/02/85, modifiée et complétée, relative à la protection et à la promotion de la santé; </w:t>
      </w:r>
      <w:r w:rsidRPr="00E30870">
        <w:rPr>
          <w:rFonts w:asciiTheme="majorBidi" w:hAnsiTheme="majorBidi" w:cstheme="majorBidi"/>
          <w:i/>
          <w:iCs/>
          <w:color w:val="000000" w:themeColor="text1"/>
          <w:sz w:val="24"/>
          <w:szCs w:val="24"/>
          <w:u w:val="single"/>
        </w:rPr>
        <w:t>la loi n° 87-17</w:t>
      </w:r>
      <w:r w:rsidRPr="00E30870">
        <w:rPr>
          <w:rFonts w:asciiTheme="majorBidi" w:hAnsiTheme="majorBidi" w:cstheme="majorBidi"/>
          <w:color w:val="000000" w:themeColor="text1"/>
          <w:sz w:val="24"/>
          <w:szCs w:val="24"/>
        </w:rPr>
        <w:t xml:space="preserve"> du 1er/08/87 relative</w:t>
      </w:r>
      <w:r w:rsidR="000D0CBB" w:rsidRPr="00E30870">
        <w:rPr>
          <w:rFonts w:asciiTheme="majorBidi" w:hAnsiTheme="majorBidi" w:cstheme="majorBidi"/>
          <w:color w:val="000000" w:themeColor="text1"/>
          <w:sz w:val="24"/>
          <w:szCs w:val="24"/>
        </w:rPr>
        <w:t xml:space="preserve"> à la protection phytosanitaire</w:t>
      </w:r>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u w:val="single"/>
        </w:rPr>
        <w:t>la loi n°08-16</w:t>
      </w:r>
      <w:r w:rsidRPr="00E30870">
        <w:rPr>
          <w:rFonts w:asciiTheme="majorBidi" w:hAnsiTheme="majorBidi" w:cstheme="majorBidi"/>
          <w:color w:val="000000" w:themeColor="text1"/>
          <w:sz w:val="24"/>
          <w:szCs w:val="24"/>
        </w:rPr>
        <w:t xml:space="preserve"> du 3 août 2008 portant orientation agricole; </w:t>
      </w:r>
      <w:r w:rsidRPr="00E30870">
        <w:rPr>
          <w:rFonts w:asciiTheme="majorBidi" w:hAnsiTheme="majorBidi" w:cstheme="majorBidi"/>
          <w:i/>
          <w:iCs/>
          <w:color w:val="000000" w:themeColor="text1"/>
          <w:sz w:val="24"/>
          <w:szCs w:val="24"/>
          <w:u w:val="single"/>
        </w:rPr>
        <w:t>la loi n°09-03</w:t>
      </w:r>
      <w:r w:rsidRPr="00E30870">
        <w:rPr>
          <w:rFonts w:asciiTheme="majorBidi" w:hAnsiTheme="majorBidi" w:cstheme="majorBidi"/>
          <w:color w:val="000000" w:themeColor="text1"/>
          <w:sz w:val="24"/>
          <w:szCs w:val="24"/>
        </w:rPr>
        <w:t xml:space="preserve"> du 25/02/09 relative à la protection du consommateur et à la répression des fraudes; et </w:t>
      </w:r>
      <w:r w:rsidRPr="00E30870">
        <w:rPr>
          <w:rFonts w:asciiTheme="majorBidi" w:hAnsiTheme="majorBidi" w:cstheme="majorBidi"/>
          <w:i/>
          <w:iCs/>
          <w:color w:val="000000" w:themeColor="text1"/>
          <w:sz w:val="24"/>
          <w:szCs w:val="24"/>
          <w:u w:val="single"/>
        </w:rPr>
        <w:t>le décret exécutif n° 95-405</w:t>
      </w:r>
      <w:r w:rsidRPr="00E30870">
        <w:rPr>
          <w:rFonts w:asciiTheme="majorBidi" w:hAnsiTheme="majorBidi" w:cstheme="majorBidi"/>
          <w:color w:val="000000" w:themeColor="text1"/>
          <w:sz w:val="24"/>
          <w:szCs w:val="24"/>
        </w:rPr>
        <w:t xml:space="preserve"> du 02 décembre 1995, relatif au contrôle des produits phytosanitaires à usage agricole, modifié et complété par </w:t>
      </w:r>
      <w:r w:rsidRPr="00E30870">
        <w:rPr>
          <w:rFonts w:asciiTheme="majorBidi" w:hAnsiTheme="majorBidi" w:cstheme="majorBidi"/>
          <w:i/>
          <w:iCs/>
          <w:color w:val="000000" w:themeColor="text1"/>
          <w:sz w:val="24"/>
          <w:szCs w:val="24"/>
          <w:u w:val="single"/>
        </w:rPr>
        <w:t>le décret exécutif n°99-156</w:t>
      </w:r>
      <w:r w:rsidRPr="00E30870">
        <w:rPr>
          <w:rFonts w:asciiTheme="majorBidi" w:hAnsiTheme="majorBidi" w:cstheme="majorBidi"/>
          <w:color w:val="000000" w:themeColor="text1"/>
          <w:sz w:val="24"/>
          <w:szCs w:val="24"/>
        </w:rPr>
        <w:t xml:space="preserve"> du 20 juillet 1999. Un comité scientifique évalue les risques de toxicité des pesticides pour l’homme et l’environnement et une réévaluation des produits homologués est possible ce qui peut mener soit à la suspension soit à l'annulation de l'homologation. Les autorités nationales du pays, en collaboration avec la FAO, ont mis en place des champs écoles de formation et de diffusion de l’information, en vue d’encourager une gestion rationnelle des produits phytopharmaceutiques dans le domaine de la lutte contre les ravageurs et maladies des cultures. L’Algérie s’est fixée comme priorité de développer et de généraliser les pratiques agricoles productives durables, de façon à assurer une utilisation rationnelle des produits phytopharmaceutiques. L’Algérie développe des solutions naturelles moins polluantes et des méthodes alternatives basée essentiellement sur la lutte biologique. Pour illustration, le Centre de Recherche Scientifique et Technique sur les Régions Arides a lancé en 2006 une station expérimentale dédiée aux bio</w:t>
      </w:r>
      <w:r w:rsidR="006F1265" w:rsidRPr="00E30870">
        <w:rPr>
          <w:rFonts w:asciiTheme="majorBidi" w:hAnsiTheme="majorBidi" w:cstheme="majorBidi"/>
          <w:color w:val="000000" w:themeColor="text1"/>
          <w:sz w:val="24"/>
          <w:szCs w:val="24"/>
        </w:rPr>
        <w:t>-</w:t>
      </w:r>
      <w:r w:rsidRPr="00E30870">
        <w:rPr>
          <w:rFonts w:asciiTheme="majorBidi" w:hAnsiTheme="majorBidi" w:cstheme="majorBidi"/>
          <w:color w:val="000000" w:themeColor="text1"/>
          <w:sz w:val="24"/>
          <w:szCs w:val="24"/>
        </w:rPr>
        <w:t>ressources au sud de l’Algérie où les chercheurs s’attellent à l’élaboration de référentiels en matièr</w:t>
      </w:r>
      <w:r w:rsidR="006F1265" w:rsidRPr="00E30870">
        <w:rPr>
          <w:rFonts w:asciiTheme="majorBidi" w:hAnsiTheme="majorBidi" w:cstheme="majorBidi"/>
          <w:color w:val="000000" w:themeColor="text1"/>
          <w:sz w:val="24"/>
          <w:szCs w:val="24"/>
        </w:rPr>
        <w:t>e de lutte biologique et de bio</w:t>
      </w:r>
      <w:r w:rsidRPr="00E30870">
        <w:rPr>
          <w:rFonts w:asciiTheme="majorBidi" w:hAnsiTheme="majorBidi" w:cstheme="majorBidi"/>
          <w:color w:val="000000" w:themeColor="text1"/>
          <w:sz w:val="24"/>
          <w:szCs w:val="24"/>
        </w:rPr>
        <w:t>fertilisation pour la durabilité des agro-systèmes (Anonyme 4, 2011).</w:t>
      </w:r>
    </w:p>
    <w:p w:rsidR="00250BE2" w:rsidRPr="00E30870" w:rsidRDefault="00250BE2" w:rsidP="000D0CBB">
      <w:pPr>
        <w:autoSpaceDE w:val="0"/>
        <w:autoSpaceDN w:val="0"/>
        <w:adjustRightInd w:val="0"/>
        <w:spacing w:after="0" w:line="360" w:lineRule="auto"/>
        <w:jc w:val="both"/>
        <w:rPr>
          <w:rFonts w:asciiTheme="majorBidi" w:hAnsiTheme="majorBidi" w:cstheme="majorBidi"/>
          <w:color w:val="000000" w:themeColor="text1"/>
          <w:sz w:val="24"/>
          <w:szCs w:val="24"/>
        </w:rPr>
      </w:pPr>
    </w:p>
    <w:p w:rsidR="00250BE2" w:rsidRPr="00E30870" w:rsidRDefault="00250BE2" w:rsidP="000D0CBB">
      <w:pPr>
        <w:autoSpaceDE w:val="0"/>
        <w:autoSpaceDN w:val="0"/>
        <w:adjustRightInd w:val="0"/>
        <w:spacing w:after="0" w:line="360" w:lineRule="auto"/>
        <w:jc w:val="both"/>
        <w:rPr>
          <w:rFonts w:asciiTheme="majorBidi" w:hAnsiTheme="majorBidi" w:cstheme="majorBidi"/>
          <w:color w:val="000000" w:themeColor="text1"/>
          <w:sz w:val="24"/>
          <w:szCs w:val="24"/>
        </w:rPr>
      </w:pPr>
    </w:p>
    <w:p w:rsidR="00250BE2" w:rsidRPr="00E30870" w:rsidRDefault="00250BE2" w:rsidP="000D0CBB">
      <w:pPr>
        <w:autoSpaceDE w:val="0"/>
        <w:autoSpaceDN w:val="0"/>
        <w:adjustRightInd w:val="0"/>
        <w:spacing w:after="0" w:line="360" w:lineRule="auto"/>
        <w:jc w:val="both"/>
        <w:rPr>
          <w:rFonts w:asciiTheme="majorBidi" w:hAnsiTheme="majorBidi" w:cstheme="majorBidi"/>
          <w:color w:val="000000" w:themeColor="text1"/>
          <w:sz w:val="24"/>
          <w:szCs w:val="24"/>
        </w:rPr>
      </w:pPr>
    </w:p>
    <w:p w:rsidR="00534C26" w:rsidRPr="00E30870" w:rsidRDefault="00534C26" w:rsidP="00534C26">
      <w:pPr>
        <w:autoSpaceDE w:val="0"/>
        <w:autoSpaceDN w:val="0"/>
        <w:adjustRightInd w:val="0"/>
        <w:spacing w:after="0" w:line="360" w:lineRule="auto"/>
        <w:jc w:val="both"/>
        <w:rPr>
          <w:rFonts w:asciiTheme="majorBidi" w:hAnsiTheme="majorBidi" w:cstheme="majorBidi"/>
          <w:b/>
          <w:bCs/>
          <w:color w:val="000000" w:themeColor="text1"/>
        </w:rPr>
      </w:pPr>
    </w:p>
    <w:p w:rsidR="00534C26" w:rsidRPr="00E30870" w:rsidRDefault="00250BE2" w:rsidP="00250BE2">
      <w:pPr>
        <w:autoSpaceDE w:val="0"/>
        <w:autoSpaceDN w:val="0"/>
        <w:adjustRightInd w:val="0"/>
        <w:spacing w:after="0" w:line="360" w:lineRule="auto"/>
        <w:jc w:val="both"/>
        <w:rPr>
          <w:rStyle w:val="CitationHTML"/>
          <w:rFonts w:asciiTheme="majorBidi" w:hAnsiTheme="majorBidi" w:cstheme="majorBidi"/>
          <w:b/>
          <w:bCs/>
          <w:color w:val="000000" w:themeColor="text1"/>
          <w:sz w:val="28"/>
          <w:szCs w:val="28"/>
        </w:rPr>
      </w:pPr>
      <w:r w:rsidRPr="00E30870">
        <w:rPr>
          <w:rFonts w:asciiTheme="majorBidi" w:hAnsiTheme="majorBidi" w:cstheme="majorBidi"/>
          <w:b/>
          <w:bCs/>
          <w:color w:val="000000" w:themeColor="text1"/>
          <w:sz w:val="28"/>
          <w:szCs w:val="28"/>
        </w:rPr>
        <w:lastRenderedPageBreak/>
        <w:t xml:space="preserve">2.4- </w:t>
      </w:r>
      <w:r w:rsidR="00534C26" w:rsidRPr="00E30870">
        <w:rPr>
          <w:rFonts w:asciiTheme="majorBidi" w:hAnsiTheme="majorBidi" w:cstheme="majorBidi"/>
          <w:b/>
          <w:bCs/>
          <w:color w:val="000000" w:themeColor="text1"/>
          <w:sz w:val="28"/>
          <w:szCs w:val="28"/>
        </w:rPr>
        <w:t>De la lutte chimique à la production intégrée</w:t>
      </w:r>
    </w:p>
    <w:p w:rsidR="00534C26" w:rsidRPr="00E30870" w:rsidRDefault="00534C26" w:rsidP="00534C26">
      <w:pPr>
        <w:autoSpaceDE w:val="0"/>
        <w:autoSpaceDN w:val="0"/>
        <w:adjustRightInd w:val="0"/>
        <w:spacing w:after="0" w:line="360" w:lineRule="auto"/>
        <w:jc w:val="both"/>
        <w:rPr>
          <w:rFonts w:asciiTheme="majorBidi" w:hAnsiTheme="majorBidi" w:cstheme="majorBidi"/>
          <w:noProof/>
          <w:color w:val="000000" w:themeColor="text1"/>
          <w:sz w:val="24"/>
          <w:szCs w:val="24"/>
          <w:lang w:eastAsia="fr-FR"/>
        </w:rPr>
      </w:pPr>
      <w:r w:rsidRPr="00E30870">
        <w:rPr>
          <w:rFonts w:asciiTheme="majorBidi" w:hAnsiTheme="majorBidi" w:cstheme="majorBidi"/>
          <w:color w:val="000000" w:themeColor="text1"/>
          <w:sz w:val="24"/>
          <w:szCs w:val="24"/>
        </w:rPr>
        <w:t>Bien que presque tous les gouvernements aient adopté des politiques pour lutter contre les problèmes causés par les pesticides, le contrôle de leur usage reste limité. Ce problème est encore plus accentué dans les pays en développement où les ressources pour faire appliquer la réglementation sont limitées, voire inexistantes, et où les conditions d’utilisation sont inappropriées ou contre-indiquées (</w:t>
      </w:r>
      <w:proofErr w:type="spellStart"/>
      <w:r w:rsidRPr="00E30870">
        <w:rPr>
          <w:rFonts w:asciiTheme="majorBidi" w:hAnsiTheme="majorBidi" w:cstheme="majorBidi"/>
          <w:color w:val="000000" w:themeColor="text1"/>
          <w:sz w:val="24"/>
          <w:szCs w:val="24"/>
        </w:rPr>
        <w:t>Goldenman</w:t>
      </w:r>
      <w:proofErr w:type="spellEnd"/>
      <w:r w:rsidRPr="00E30870">
        <w:rPr>
          <w:rFonts w:asciiTheme="majorBidi" w:hAnsiTheme="majorBidi" w:cstheme="majorBidi"/>
          <w:color w:val="000000" w:themeColor="text1"/>
          <w:sz w:val="24"/>
          <w:szCs w:val="24"/>
        </w:rPr>
        <w:t xml:space="preserve"> et </w:t>
      </w:r>
      <w:proofErr w:type="spellStart"/>
      <w:r w:rsidRPr="00E30870">
        <w:rPr>
          <w:rFonts w:asciiTheme="majorBidi" w:hAnsiTheme="majorBidi" w:cstheme="majorBidi"/>
          <w:color w:val="000000" w:themeColor="text1"/>
          <w:sz w:val="24"/>
          <w:szCs w:val="24"/>
        </w:rPr>
        <w:t>PozoVera</w:t>
      </w:r>
      <w:proofErr w:type="spellEnd"/>
      <w:r w:rsidRPr="00E30870">
        <w:rPr>
          <w:rFonts w:asciiTheme="majorBidi" w:hAnsiTheme="majorBidi" w:cstheme="majorBidi"/>
          <w:color w:val="000000" w:themeColor="text1"/>
          <w:sz w:val="24"/>
          <w:szCs w:val="24"/>
        </w:rPr>
        <w:t>, 2008).</w:t>
      </w:r>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En plus,</w:t>
      </w:r>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 xml:space="preserve">malgré toutes les menaces que les pesticides présentent pour l’environnement et la santé de l’homme, les pays en développement et les pays fortement industrialisés continuent à utiliser de grandes quantités de ces produits dangereux (Jack Weinberg, 2009). Ainsi, </w:t>
      </w:r>
      <w:r w:rsidRPr="00E30870">
        <w:rPr>
          <w:rFonts w:asciiTheme="majorBidi" w:hAnsiTheme="majorBidi" w:cstheme="majorBidi"/>
          <w:noProof/>
          <w:color w:val="000000" w:themeColor="text1"/>
          <w:sz w:val="24"/>
          <w:szCs w:val="24"/>
          <w:lang w:eastAsia="fr-FR"/>
        </w:rPr>
        <w:t xml:space="preserve">la valeur globale du marché </w:t>
      </w:r>
      <w:r w:rsidR="00BF7551" w:rsidRPr="00E30870">
        <w:rPr>
          <w:rFonts w:asciiTheme="majorBidi" w:hAnsiTheme="majorBidi" w:cstheme="majorBidi"/>
          <w:noProof/>
          <w:color w:val="000000" w:themeColor="text1"/>
          <w:sz w:val="24"/>
          <w:szCs w:val="24"/>
          <w:lang w:eastAsia="fr-FR"/>
        </w:rPr>
        <w:t xml:space="preserve">mondial </w:t>
      </w:r>
      <w:r w:rsidRPr="00E30870">
        <w:rPr>
          <w:rFonts w:asciiTheme="majorBidi" w:hAnsiTheme="majorBidi" w:cstheme="majorBidi"/>
          <w:noProof/>
          <w:color w:val="000000" w:themeColor="text1"/>
          <w:sz w:val="24"/>
          <w:szCs w:val="24"/>
          <w:lang w:eastAsia="fr-FR"/>
        </w:rPr>
        <w:t>des pesticides était d’approximativement 38 billion USD environ, en 2010 (figure 2). En plus, 25 000 pesticides à usage agricole dont 700 substances actives étaient estimés sur le marché mondial en 2012 (Arbach, 2012).</w:t>
      </w:r>
    </w:p>
    <w:p w:rsidR="00534C26" w:rsidRPr="00E30870" w:rsidRDefault="00534C26" w:rsidP="00534C26">
      <w:pPr>
        <w:autoSpaceDE w:val="0"/>
        <w:autoSpaceDN w:val="0"/>
        <w:adjustRightInd w:val="0"/>
        <w:spacing w:after="0" w:line="360" w:lineRule="auto"/>
        <w:jc w:val="both"/>
        <w:rPr>
          <w:rFonts w:asciiTheme="majorBidi" w:hAnsiTheme="majorBidi" w:cstheme="majorBidi"/>
          <w:noProof/>
          <w:color w:val="000000" w:themeColor="text1"/>
          <w:sz w:val="24"/>
          <w:szCs w:val="24"/>
          <w:lang w:eastAsia="fr-FR"/>
        </w:rPr>
      </w:pPr>
    </w:p>
    <w:p w:rsidR="00534C26" w:rsidRPr="00E30870" w:rsidRDefault="00F83B7D" w:rsidP="00BF7551">
      <w:pPr>
        <w:autoSpaceDE w:val="0"/>
        <w:autoSpaceDN w:val="0"/>
        <w:adjustRightInd w:val="0"/>
        <w:spacing w:after="0" w:line="360" w:lineRule="auto"/>
        <w:jc w:val="center"/>
        <w:rPr>
          <w:rFonts w:asciiTheme="majorBidi" w:hAnsiTheme="majorBidi" w:cstheme="majorBidi"/>
          <w:noProof/>
          <w:color w:val="000000" w:themeColor="text1"/>
          <w:sz w:val="24"/>
          <w:szCs w:val="24"/>
          <w:lang w:eastAsia="fr-FR"/>
        </w:rPr>
      </w:pPr>
      <w:r>
        <w:rPr>
          <w:rFonts w:asciiTheme="majorBidi" w:hAnsiTheme="majorBidi" w:cstheme="majorBidi"/>
          <w:noProof/>
          <w:color w:val="000000" w:themeColor="text1"/>
          <w:sz w:val="24"/>
          <w:szCs w:val="24"/>
        </w:rPr>
        <w:pict>
          <v:shape id="_x0000_s1027" type="#_x0000_t202" style="position:absolute;left:0;text-align:left;margin-left:.9pt;margin-top:163.25pt;width:449.3pt;height:39.95pt;z-index:251661312;mso-width-relative:margin;mso-height-relative:margin" stroked="f">
            <v:textbox>
              <w:txbxContent>
                <w:p w:rsidR="00534C26" w:rsidRPr="00325FE9" w:rsidRDefault="00534C26" w:rsidP="00BF7551">
                  <w:pPr>
                    <w:jc w:val="both"/>
                    <w:rPr>
                      <w:rFonts w:asciiTheme="majorBidi" w:hAnsiTheme="majorBidi" w:cstheme="majorBidi"/>
                    </w:rPr>
                  </w:pPr>
                  <w:r w:rsidRPr="00E043DB">
                    <w:rPr>
                      <w:rFonts w:asciiTheme="majorBidi" w:hAnsiTheme="majorBidi" w:cstheme="majorBidi"/>
                      <w:b/>
                      <w:bCs/>
                    </w:rPr>
                    <w:t xml:space="preserve">Figure </w:t>
                  </w:r>
                  <w:r>
                    <w:rPr>
                      <w:rFonts w:asciiTheme="majorBidi" w:hAnsiTheme="majorBidi" w:cstheme="majorBidi"/>
                      <w:b/>
                      <w:bCs/>
                    </w:rPr>
                    <w:t>2</w:t>
                  </w:r>
                  <w:r w:rsidRPr="004A78AB">
                    <w:rPr>
                      <w:rFonts w:asciiTheme="majorBidi" w:hAnsiTheme="majorBidi" w:cstheme="majorBidi"/>
                    </w:rPr>
                    <w:t xml:space="preserve"> Le marché des produits phytosanitaires par région du monde et par catégorie des produits, en million US$</w:t>
                  </w:r>
                  <w:r>
                    <w:rPr>
                      <w:rFonts w:asciiTheme="majorBidi" w:hAnsiTheme="majorBidi" w:cstheme="majorBidi"/>
                    </w:rPr>
                    <w:t xml:space="preserve">. Source: </w:t>
                  </w:r>
                  <w:r>
                    <w:rPr>
                      <w:rFonts w:asciiTheme="majorBidi" w:hAnsiTheme="majorBidi" w:cstheme="majorBidi"/>
                      <w:noProof/>
                      <w:color w:val="000000" w:themeColor="text1"/>
                      <w:lang w:eastAsia="fr-FR"/>
                    </w:rPr>
                    <w:t xml:space="preserve">Arbach, </w:t>
                  </w:r>
                  <w:r w:rsidRPr="00325FE9">
                    <w:rPr>
                      <w:rFonts w:asciiTheme="majorBidi" w:hAnsiTheme="majorBidi" w:cstheme="majorBidi"/>
                      <w:noProof/>
                      <w:color w:val="000000" w:themeColor="text1"/>
                      <w:lang w:eastAsia="fr-FR"/>
                    </w:rPr>
                    <w:t>2012</w:t>
                  </w:r>
                  <w:r>
                    <w:rPr>
                      <w:rFonts w:asciiTheme="majorBidi" w:hAnsiTheme="majorBidi" w:cstheme="majorBidi"/>
                      <w:noProof/>
                      <w:color w:val="000000" w:themeColor="text1"/>
                      <w:lang w:eastAsia="fr-FR"/>
                    </w:rPr>
                    <w:t>.</w:t>
                  </w:r>
                </w:p>
              </w:txbxContent>
            </v:textbox>
          </v:shape>
        </w:pict>
      </w:r>
      <w:r w:rsidR="00534C26" w:rsidRPr="00E30870">
        <w:rPr>
          <w:rFonts w:asciiTheme="majorBidi" w:hAnsiTheme="majorBidi" w:cstheme="majorBidi"/>
          <w:noProof/>
          <w:color w:val="000000" w:themeColor="text1"/>
          <w:sz w:val="24"/>
          <w:szCs w:val="24"/>
          <w:lang w:eastAsia="fr-FR"/>
        </w:rPr>
        <w:drawing>
          <wp:inline distT="0" distB="0" distL="0" distR="0">
            <wp:extent cx="5451719" cy="210125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434" t="6749" r="2264" b="20942"/>
                    <a:stretch>
                      <a:fillRect/>
                    </a:stretch>
                  </pic:blipFill>
                  <pic:spPr bwMode="auto">
                    <a:xfrm>
                      <a:off x="0" y="0"/>
                      <a:ext cx="5466889" cy="2107097"/>
                    </a:xfrm>
                    <a:prstGeom prst="rect">
                      <a:avLst/>
                    </a:prstGeom>
                    <a:noFill/>
                    <a:ln w="9525">
                      <a:noFill/>
                      <a:miter lim="800000"/>
                      <a:headEnd/>
                      <a:tailEnd/>
                    </a:ln>
                  </pic:spPr>
                </pic:pic>
              </a:graphicData>
            </a:graphic>
          </wp:inline>
        </w:drawing>
      </w:r>
    </w:p>
    <w:p w:rsidR="00534C26" w:rsidRPr="00E30870" w:rsidRDefault="00534C26" w:rsidP="00534C26">
      <w:pPr>
        <w:autoSpaceDE w:val="0"/>
        <w:autoSpaceDN w:val="0"/>
        <w:adjustRightInd w:val="0"/>
        <w:spacing w:after="0" w:line="360" w:lineRule="auto"/>
        <w:ind w:firstLine="708"/>
        <w:jc w:val="both"/>
        <w:rPr>
          <w:rFonts w:asciiTheme="majorBidi" w:hAnsiTheme="majorBidi" w:cstheme="majorBidi"/>
          <w:color w:val="000000" w:themeColor="text1"/>
          <w:sz w:val="24"/>
          <w:szCs w:val="24"/>
        </w:rPr>
      </w:pPr>
    </w:p>
    <w:p w:rsidR="00BF7551" w:rsidRPr="00E30870" w:rsidRDefault="00BF7551" w:rsidP="00534C26">
      <w:pPr>
        <w:autoSpaceDE w:val="0"/>
        <w:autoSpaceDN w:val="0"/>
        <w:adjustRightInd w:val="0"/>
        <w:spacing w:after="0" w:line="360" w:lineRule="auto"/>
        <w:jc w:val="both"/>
        <w:rPr>
          <w:rFonts w:asciiTheme="majorBidi" w:hAnsiTheme="majorBidi" w:cstheme="majorBidi"/>
          <w:color w:val="000000" w:themeColor="text1"/>
          <w:sz w:val="24"/>
          <w:szCs w:val="24"/>
        </w:rPr>
      </w:pP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Les modèles de développement non durables nécessitent un usage intensif des pesticides qui nuisent à l’environnement, menacent les écosystèmes et la biodiversité, indispensables à notre sécurité alimentaire future. En effet, des appels en faveur de la modification profonde de nos systèmes agricoles et alimentaires se font de plus en plus fréquents et insistants. L'agriculture durable</w:t>
      </w:r>
      <w:r w:rsidRPr="00E30870">
        <w:rPr>
          <w:rFonts w:asciiTheme="majorBidi" w:hAnsiTheme="majorBidi" w:cstheme="majorBidi"/>
          <w:b/>
          <w:bCs/>
          <w:color w:val="000000" w:themeColor="text1"/>
          <w:sz w:val="24"/>
          <w:szCs w:val="24"/>
        </w:rPr>
        <w:t xml:space="preserve"> </w:t>
      </w:r>
      <w:r w:rsidRPr="00E30870">
        <w:rPr>
          <w:rFonts w:asciiTheme="majorBidi" w:hAnsiTheme="majorBidi" w:cstheme="majorBidi"/>
          <w:color w:val="000000" w:themeColor="text1"/>
          <w:sz w:val="24"/>
          <w:szCs w:val="24"/>
        </w:rPr>
        <w:t xml:space="preserve">(ou soutenable, en traduction de l'anglais </w:t>
      </w:r>
      <w:proofErr w:type="spellStart"/>
      <w:r w:rsidRPr="00E30870">
        <w:rPr>
          <w:rFonts w:asciiTheme="majorBidi" w:hAnsiTheme="majorBidi" w:cstheme="majorBidi"/>
          <w:i/>
          <w:iCs/>
          <w:color w:val="000000" w:themeColor="text1"/>
          <w:sz w:val="24"/>
          <w:szCs w:val="24"/>
        </w:rPr>
        <w:t>sustainable</w:t>
      </w:r>
      <w:proofErr w:type="spellEnd"/>
      <w:r w:rsidRPr="00E30870">
        <w:rPr>
          <w:rFonts w:asciiTheme="majorBidi" w:hAnsiTheme="majorBidi" w:cstheme="majorBidi"/>
          <w:color w:val="000000" w:themeColor="text1"/>
          <w:sz w:val="24"/>
          <w:szCs w:val="24"/>
        </w:rPr>
        <w:t>) est l'application à l'agriculture des principes du développement durable ou soutenable tels que reconnus par la communauté internationale à Rio de Janeiro en juin 1992. Il s'agit d'un système de production agricole qui vise à assurer une production pérenne</w:t>
      </w:r>
      <w:r w:rsidRPr="00E30870">
        <w:rPr>
          <w:rFonts w:asciiTheme="majorBidi" w:hAnsiTheme="majorBidi" w:cstheme="majorBidi"/>
          <w:b/>
          <w:bCs/>
          <w:color w:val="000000" w:themeColor="text1"/>
          <w:sz w:val="24"/>
          <w:szCs w:val="24"/>
        </w:rPr>
        <w:t xml:space="preserve"> </w:t>
      </w:r>
      <w:r w:rsidRPr="00E30870">
        <w:rPr>
          <w:rFonts w:asciiTheme="majorBidi" w:hAnsiTheme="majorBidi" w:cstheme="majorBidi"/>
          <w:color w:val="000000" w:themeColor="text1"/>
          <w:sz w:val="24"/>
          <w:szCs w:val="24"/>
        </w:rPr>
        <w:t>de nourriture, de bois et de fibres en respectant les limites écologiques, économiques et sociales qui assurent la maintenance dans le temps de cette production.</w:t>
      </w:r>
      <w:r w:rsidRPr="00E30870">
        <w:rPr>
          <w:rStyle w:val="CitationHTML"/>
          <w:rFonts w:asciiTheme="majorBidi" w:hAnsiTheme="majorBidi" w:cstheme="majorBidi"/>
          <w:color w:val="000000" w:themeColor="text1"/>
          <w:sz w:val="24"/>
          <w:szCs w:val="24"/>
        </w:rPr>
        <w:t xml:space="preserve"> </w:t>
      </w:r>
      <w:r w:rsidRPr="00E30870">
        <w:rPr>
          <w:rFonts w:asciiTheme="majorBidi" w:hAnsiTheme="majorBidi" w:cstheme="majorBidi"/>
          <w:color w:val="000000" w:themeColor="text1"/>
          <w:sz w:val="24"/>
          <w:szCs w:val="24"/>
        </w:rPr>
        <w:t xml:space="preserve">L’agriculture durable, elle, en se basant sur une gestion économe et </w:t>
      </w:r>
      <w:r w:rsidRPr="00E30870">
        <w:rPr>
          <w:rFonts w:asciiTheme="majorBidi" w:hAnsiTheme="majorBidi" w:cstheme="majorBidi"/>
          <w:color w:val="000000" w:themeColor="text1"/>
          <w:sz w:val="24"/>
          <w:szCs w:val="24"/>
        </w:rPr>
        <w:lastRenderedPageBreak/>
        <w:t>autonome des exploitations agricoles, garantit une efficacité économique et des revenus décents</w:t>
      </w:r>
      <w:r w:rsidRPr="00E30870">
        <w:rPr>
          <w:rFonts w:asciiTheme="majorBidi" w:hAnsiTheme="majorBidi" w:cstheme="majorBidi"/>
          <w:b/>
          <w:bCs/>
          <w:color w:val="000000" w:themeColor="text1"/>
          <w:sz w:val="24"/>
          <w:szCs w:val="24"/>
        </w:rPr>
        <w:t xml:space="preserve"> </w:t>
      </w:r>
      <w:r w:rsidRPr="00E30870">
        <w:rPr>
          <w:rFonts w:asciiTheme="majorBidi" w:hAnsiTheme="majorBidi" w:cstheme="majorBidi"/>
          <w:color w:val="000000" w:themeColor="text1"/>
          <w:sz w:val="24"/>
          <w:szCs w:val="24"/>
        </w:rPr>
        <w:t>aux agriculteurs. Elle permet une baisse des charges, une diminution des coûts pour la collectivité tout en valorisant le travail. Elle est plus autonome par rapport aux aides publiques et plus en cohérence avec les ressources locales et les enjeux territoriaux. Elle se fonde sur une équité sociale qui permet de valoriser le travail et les emplois avec un partage équitable des richesses et des droits à produire. Multifonctionnelle, elle participe à la vie et au dynamisme des territoires ruraux, et crée des ponts entre le monde rural et les villes (Anonyme 5).</w:t>
      </w:r>
    </w:p>
    <w:p w:rsidR="00E627F5" w:rsidRPr="00DF1391" w:rsidRDefault="00534C26" w:rsidP="00DF1391">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 xml:space="preserve">Les concepts et les stratégies développées dans le cadre de l’agriculture durable ont évolué vers le concept intégré de gestion des ressources naturelles (lutte intégrée ou </w:t>
      </w:r>
      <w:proofErr w:type="spellStart"/>
      <w:r w:rsidRPr="00E30870">
        <w:rPr>
          <w:rFonts w:asciiTheme="majorBidi" w:hAnsiTheme="majorBidi" w:cstheme="majorBidi"/>
          <w:i/>
          <w:iCs/>
          <w:color w:val="000000" w:themeColor="text1"/>
          <w:sz w:val="24"/>
          <w:szCs w:val="24"/>
        </w:rPr>
        <w:t>Integrated</w:t>
      </w:r>
      <w:proofErr w:type="spellEnd"/>
      <w:r w:rsidRPr="00E30870">
        <w:rPr>
          <w:rFonts w:asciiTheme="majorBidi" w:hAnsiTheme="majorBidi" w:cstheme="majorBidi"/>
          <w:i/>
          <w:iCs/>
          <w:color w:val="000000" w:themeColor="text1"/>
          <w:sz w:val="24"/>
          <w:szCs w:val="24"/>
        </w:rPr>
        <w:t xml:space="preserve"> </w:t>
      </w:r>
      <w:proofErr w:type="spellStart"/>
      <w:r w:rsidRPr="00E30870">
        <w:rPr>
          <w:rFonts w:asciiTheme="majorBidi" w:hAnsiTheme="majorBidi" w:cstheme="majorBidi"/>
          <w:i/>
          <w:iCs/>
          <w:color w:val="000000" w:themeColor="text1"/>
          <w:sz w:val="24"/>
          <w:szCs w:val="24"/>
        </w:rPr>
        <w:t>Crop</w:t>
      </w:r>
      <w:proofErr w:type="spellEnd"/>
      <w:r w:rsidRPr="00E30870">
        <w:rPr>
          <w:rFonts w:asciiTheme="majorBidi" w:hAnsiTheme="majorBidi" w:cstheme="majorBidi"/>
          <w:i/>
          <w:iCs/>
          <w:color w:val="000000" w:themeColor="text1"/>
          <w:sz w:val="24"/>
          <w:szCs w:val="24"/>
        </w:rPr>
        <w:t xml:space="preserve"> Management </w:t>
      </w:r>
      <w:r w:rsidRPr="00E30870">
        <w:rPr>
          <w:rFonts w:asciiTheme="majorBidi" w:hAnsiTheme="majorBidi" w:cstheme="majorBidi"/>
          <w:color w:val="000000" w:themeColor="text1"/>
          <w:sz w:val="24"/>
          <w:szCs w:val="24"/>
        </w:rPr>
        <w:t>– ICM).</w:t>
      </w:r>
      <w:r w:rsidRPr="00E30870">
        <w:rPr>
          <w:rStyle w:val="CitationHTML"/>
          <w:rFonts w:asciiTheme="majorBidi" w:hAnsiTheme="majorBidi" w:cstheme="majorBidi"/>
          <w:color w:val="000000" w:themeColor="text1"/>
          <w:sz w:val="24"/>
          <w:szCs w:val="24"/>
        </w:rPr>
        <w:t xml:space="preserve"> </w:t>
      </w:r>
      <w:r w:rsidRPr="00E30870">
        <w:rPr>
          <w:rFonts w:asciiTheme="majorBidi" w:hAnsiTheme="majorBidi" w:cstheme="majorBidi"/>
          <w:color w:val="000000" w:themeColor="text1"/>
          <w:sz w:val="24"/>
          <w:szCs w:val="24"/>
        </w:rPr>
        <w:t>La lutte intégrée est une démarche de planification et de gestion qui implique différentes méthodes de réduction des populations d'organismes nuisibles à des niveaux acceptables. La bonne gestion intégrée des cultures, implique l’adoption des techniques respectueuses de l’environnement, telles: obtention des semences ou du matériel de plantation (boutures, plants) de qualité ; choix des sols fertiles et des lieux adaptés à la plantation; adoption des écartements et  des dispositifs adéquats de plantation; plantation des cultures pour faire coïncider leur</w:t>
      </w:r>
      <w:r w:rsidR="00D6690D" w:rsidRPr="00E30870">
        <w:rPr>
          <w:rFonts w:asciiTheme="majorBidi" w:hAnsiTheme="majorBidi" w:cstheme="majorBidi"/>
          <w:color w:val="000000" w:themeColor="text1"/>
          <w:sz w:val="24"/>
          <w:szCs w:val="24"/>
        </w:rPr>
        <w:t xml:space="preserve"> période de </w:t>
      </w:r>
      <w:r w:rsidRPr="00E30870">
        <w:rPr>
          <w:rFonts w:asciiTheme="majorBidi" w:hAnsiTheme="majorBidi" w:cstheme="majorBidi"/>
          <w:color w:val="000000" w:themeColor="text1"/>
          <w:sz w:val="24"/>
          <w:szCs w:val="24"/>
        </w:rPr>
        <w:t xml:space="preserve">croissance avec une faible incidence des ravageurs et des maladies; pratique de la rotation des cultures; adoption des pratiques adéquates de gestion hydrique; désherbage régulier; inspection régulière des champs; favorisation de l'accroissement des populations d'ennemis naturels (auxiliaires); adoption de bonnes pratiques de récolte; adoption des dispositifs de stockage propres et de qualité et </w:t>
      </w:r>
      <w:r w:rsidR="00D6690D" w:rsidRPr="00E30870">
        <w:rPr>
          <w:rFonts w:asciiTheme="majorBidi" w:hAnsiTheme="majorBidi" w:cstheme="majorBidi"/>
          <w:color w:val="000000" w:themeColor="text1"/>
          <w:sz w:val="24"/>
          <w:szCs w:val="24"/>
        </w:rPr>
        <w:t>r</w:t>
      </w:r>
      <w:r w:rsidRPr="00E30870">
        <w:rPr>
          <w:rFonts w:asciiTheme="majorBidi" w:hAnsiTheme="majorBidi" w:cstheme="majorBidi"/>
          <w:color w:val="000000" w:themeColor="text1"/>
          <w:sz w:val="24"/>
          <w:szCs w:val="24"/>
        </w:rPr>
        <w:t>éduction au minimum de l'application de pesticides chimiques</w:t>
      </w:r>
      <w:r w:rsidRPr="00E30870">
        <w:rPr>
          <w:rStyle w:val="CitationHTML"/>
          <w:rFonts w:asciiTheme="majorBidi" w:hAnsiTheme="majorBidi" w:cstheme="majorBidi"/>
          <w:i w:val="0"/>
          <w:iCs w:val="0"/>
          <w:color w:val="000000" w:themeColor="text1"/>
          <w:sz w:val="24"/>
          <w:szCs w:val="24"/>
        </w:rPr>
        <w:t xml:space="preserve"> (COLEACP, 2011).</w:t>
      </w:r>
      <w:r w:rsidR="00D6690D" w:rsidRPr="00E30870">
        <w:rPr>
          <w:rStyle w:val="CitationHTML"/>
          <w:rFonts w:asciiTheme="majorBidi" w:hAnsiTheme="majorBidi" w:cstheme="majorBidi"/>
          <w:color w:val="000000" w:themeColor="text1"/>
          <w:sz w:val="24"/>
          <w:szCs w:val="24"/>
        </w:rPr>
        <w:t xml:space="preserve"> </w:t>
      </w:r>
      <w:r w:rsidRPr="00E30870">
        <w:rPr>
          <w:rStyle w:val="CitationHTML"/>
          <w:rFonts w:asciiTheme="majorBidi" w:hAnsiTheme="majorBidi" w:cstheme="majorBidi"/>
          <w:i w:val="0"/>
          <w:iCs w:val="0"/>
          <w:color w:val="000000" w:themeColor="text1"/>
          <w:sz w:val="24"/>
          <w:szCs w:val="24"/>
        </w:rPr>
        <w:t>C</w:t>
      </w:r>
      <w:r w:rsidR="00D6690D" w:rsidRPr="00E30870">
        <w:rPr>
          <w:rStyle w:val="CitationHTML"/>
          <w:rFonts w:asciiTheme="majorBidi" w:hAnsiTheme="majorBidi" w:cstheme="majorBidi"/>
          <w:i w:val="0"/>
          <w:iCs w:val="0"/>
          <w:color w:val="000000" w:themeColor="text1"/>
          <w:sz w:val="24"/>
          <w:szCs w:val="24"/>
        </w:rPr>
        <w:t xml:space="preserve">ette </w:t>
      </w:r>
      <w:r w:rsidRPr="00E30870">
        <w:rPr>
          <w:rStyle w:val="CitationHTML"/>
          <w:rFonts w:asciiTheme="majorBidi" w:hAnsiTheme="majorBidi" w:cstheme="majorBidi"/>
          <w:i w:val="0"/>
          <w:iCs w:val="0"/>
          <w:color w:val="000000" w:themeColor="text1"/>
          <w:sz w:val="24"/>
          <w:szCs w:val="24"/>
        </w:rPr>
        <w:t xml:space="preserve">diminution d’usage des produits phytosanitaires de synthèse est réalisée par l’introduction dans les stratégies de lutte antiparasitaire des produits naturels dits: biopesticides. La notion de l’agriculture biologique basée principalement sur l’utilisation de ces biopesticides sera discutée plus loin. </w:t>
      </w:r>
    </w:p>
    <w:p w:rsidR="00E627F5" w:rsidRPr="00E30870" w:rsidRDefault="00E627F5" w:rsidP="00E627F5">
      <w:pPr>
        <w:spacing w:line="360" w:lineRule="auto"/>
        <w:jc w:val="both"/>
        <w:rPr>
          <w:rStyle w:val="CitationHTML"/>
          <w:rFonts w:asciiTheme="majorBidi" w:hAnsiTheme="majorBidi" w:cstheme="majorBidi"/>
          <w:b/>
          <w:bCs/>
          <w:i w:val="0"/>
          <w:iCs w:val="0"/>
          <w:color w:val="000000" w:themeColor="text1"/>
          <w:sz w:val="28"/>
          <w:szCs w:val="28"/>
        </w:rPr>
      </w:pPr>
      <w:r w:rsidRPr="00E30870">
        <w:rPr>
          <w:rFonts w:asciiTheme="majorBidi" w:hAnsiTheme="majorBidi" w:cstheme="majorBidi"/>
          <w:b/>
          <w:bCs/>
          <w:color w:val="000000" w:themeColor="text1"/>
          <w:sz w:val="28"/>
          <w:szCs w:val="28"/>
        </w:rPr>
        <w:t xml:space="preserve">2.5 - </w:t>
      </w:r>
      <w:r w:rsidR="00534C26" w:rsidRPr="00E30870">
        <w:rPr>
          <w:rStyle w:val="CitationHTML"/>
          <w:rFonts w:asciiTheme="majorBidi" w:hAnsiTheme="majorBidi" w:cstheme="majorBidi"/>
          <w:b/>
          <w:bCs/>
          <w:i w:val="0"/>
          <w:iCs w:val="0"/>
          <w:color w:val="000000" w:themeColor="text1"/>
          <w:sz w:val="28"/>
          <w:szCs w:val="28"/>
        </w:rPr>
        <w:t>Maladies des plantes</w:t>
      </w:r>
    </w:p>
    <w:p w:rsidR="00534C26" w:rsidRPr="00E30870" w:rsidRDefault="00E627F5" w:rsidP="00E627F5">
      <w:pPr>
        <w:spacing w:line="360" w:lineRule="auto"/>
        <w:jc w:val="both"/>
        <w:rPr>
          <w:rStyle w:val="CitationHTML"/>
          <w:rFonts w:asciiTheme="majorBidi" w:hAnsiTheme="majorBidi" w:cstheme="majorBidi"/>
          <w:b/>
          <w:bCs/>
          <w:i w:val="0"/>
          <w:iCs w:val="0"/>
          <w:color w:val="000000" w:themeColor="text1"/>
          <w:sz w:val="24"/>
          <w:szCs w:val="24"/>
        </w:rPr>
      </w:pPr>
      <w:r w:rsidRPr="00E30870">
        <w:rPr>
          <w:rStyle w:val="CitationHTML"/>
          <w:rFonts w:asciiTheme="majorBidi" w:hAnsiTheme="majorBidi" w:cstheme="majorBidi"/>
          <w:b/>
          <w:bCs/>
          <w:i w:val="0"/>
          <w:iCs w:val="0"/>
          <w:color w:val="000000" w:themeColor="text1"/>
          <w:sz w:val="24"/>
          <w:szCs w:val="24"/>
        </w:rPr>
        <w:t xml:space="preserve">2.5.1- </w:t>
      </w:r>
      <w:r w:rsidR="00534C26" w:rsidRPr="00E30870">
        <w:rPr>
          <w:rStyle w:val="CitationHTML"/>
          <w:rFonts w:asciiTheme="majorBidi" w:hAnsiTheme="majorBidi" w:cstheme="majorBidi"/>
          <w:b/>
          <w:bCs/>
          <w:i w:val="0"/>
          <w:iCs w:val="0"/>
          <w:color w:val="000000" w:themeColor="text1"/>
          <w:sz w:val="24"/>
          <w:szCs w:val="24"/>
        </w:rPr>
        <w:t>Définition</w:t>
      </w:r>
    </w:p>
    <w:p w:rsidR="00534C26" w:rsidRPr="00E30870" w:rsidRDefault="00534C26" w:rsidP="00DD7A3C">
      <w:pPr>
        <w:spacing w:line="360" w:lineRule="auto"/>
        <w:jc w:val="both"/>
        <w:rPr>
          <w:rStyle w:val="CitationHTML"/>
          <w:rFonts w:asciiTheme="majorBidi" w:hAnsiTheme="majorBidi" w:cstheme="majorBidi"/>
          <w:b/>
          <w:bCs/>
          <w:i w:val="0"/>
          <w:iCs w:val="0"/>
          <w:color w:val="000000" w:themeColor="text1"/>
          <w:sz w:val="24"/>
          <w:szCs w:val="24"/>
        </w:rPr>
      </w:pPr>
      <w:r w:rsidRPr="00E30870">
        <w:rPr>
          <w:rStyle w:val="CitationHTML"/>
          <w:rFonts w:asciiTheme="majorBidi" w:hAnsiTheme="majorBidi" w:cstheme="majorBidi"/>
          <w:i w:val="0"/>
          <w:iCs w:val="0"/>
          <w:color w:val="000000" w:themeColor="text1"/>
          <w:sz w:val="24"/>
          <w:szCs w:val="24"/>
        </w:rPr>
        <w:t xml:space="preserve">Une maladie de plantes peut être définie par une succession de réponses invisibles et/ou visibles à un microorganisme phytopathogène ou à la modification d’un facteur environnemental (température, pH, humidité et disponibilité d’oxygène), qui provoquent des bouleversements de forme, de fonction ou de l’intégrité de la plante. Il existe de ce fait, deux </w:t>
      </w:r>
      <w:r w:rsidRPr="00E30870">
        <w:rPr>
          <w:rStyle w:val="CitationHTML"/>
          <w:rFonts w:asciiTheme="majorBidi" w:hAnsiTheme="majorBidi" w:cstheme="majorBidi"/>
          <w:i w:val="0"/>
          <w:iCs w:val="0"/>
          <w:color w:val="000000" w:themeColor="text1"/>
          <w:sz w:val="24"/>
          <w:szCs w:val="24"/>
        </w:rPr>
        <w:lastRenderedPageBreak/>
        <w:t xml:space="preserve">types de </w:t>
      </w:r>
      <w:r w:rsidR="00DD7A3C" w:rsidRPr="00E30870">
        <w:rPr>
          <w:rStyle w:val="CitationHTML"/>
          <w:rFonts w:asciiTheme="majorBidi" w:hAnsiTheme="majorBidi" w:cstheme="majorBidi"/>
          <w:i w:val="0"/>
          <w:iCs w:val="0"/>
          <w:color w:val="000000" w:themeColor="text1"/>
          <w:sz w:val="24"/>
          <w:szCs w:val="24"/>
        </w:rPr>
        <w:t xml:space="preserve">maladies des plantes, à savoir: </w:t>
      </w:r>
      <w:r w:rsidRPr="00E30870">
        <w:rPr>
          <w:rStyle w:val="CitationHTML"/>
          <w:rFonts w:asciiTheme="majorBidi" w:hAnsiTheme="majorBidi" w:cstheme="majorBidi"/>
          <w:i w:val="0"/>
          <w:iCs w:val="0"/>
          <w:color w:val="000000" w:themeColor="text1"/>
          <w:sz w:val="24"/>
          <w:szCs w:val="24"/>
        </w:rPr>
        <w:t>des maladies non infectieuses (abiotiques); et des maladies infectieuses (biotiques) causées par des champignons, des bactéries, des plantes supérieures parasites, des virus et viroïdes, de</w:t>
      </w:r>
      <w:r w:rsidR="00DD7A3C" w:rsidRPr="00E30870">
        <w:rPr>
          <w:rStyle w:val="CitationHTML"/>
          <w:rFonts w:asciiTheme="majorBidi" w:hAnsiTheme="majorBidi" w:cstheme="majorBidi"/>
          <w:i w:val="0"/>
          <w:iCs w:val="0"/>
          <w:color w:val="000000" w:themeColor="text1"/>
          <w:sz w:val="24"/>
          <w:szCs w:val="24"/>
        </w:rPr>
        <w:t xml:space="preserve">s nématodes et des protozoaires </w:t>
      </w:r>
      <w:r w:rsidRPr="00E30870">
        <w:rPr>
          <w:rStyle w:val="CitationHTML"/>
          <w:rFonts w:asciiTheme="majorBidi" w:hAnsiTheme="majorBidi" w:cstheme="majorBidi"/>
          <w:i w:val="0"/>
          <w:iCs w:val="0"/>
          <w:color w:val="000000" w:themeColor="text1"/>
          <w:sz w:val="24"/>
          <w:szCs w:val="24"/>
        </w:rPr>
        <w:t xml:space="preserve">(Sarah </w:t>
      </w:r>
      <w:r w:rsidRPr="00E30870">
        <w:rPr>
          <w:rStyle w:val="CitationHTML"/>
          <w:rFonts w:asciiTheme="majorBidi" w:hAnsiTheme="majorBidi" w:cstheme="majorBidi"/>
          <w:color w:val="000000" w:themeColor="text1"/>
          <w:sz w:val="24"/>
          <w:szCs w:val="24"/>
        </w:rPr>
        <w:t xml:space="preserve">et </w:t>
      </w:r>
      <w:proofErr w:type="gramStart"/>
      <w:r w:rsidRPr="00E30870">
        <w:rPr>
          <w:rStyle w:val="CitationHTML"/>
          <w:rFonts w:asciiTheme="majorBidi" w:hAnsiTheme="majorBidi" w:cstheme="majorBidi"/>
          <w:color w:val="000000" w:themeColor="text1"/>
          <w:sz w:val="24"/>
          <w:szCs w:val="24"/>
        </w:rPr>
        <w:t>al.,</w:t>
      </w:r>
      <w:proofErr w:type="gramEnd"/>
      <w:r w:rsidRPr="00E30870">
        <w:rPr>
          <w:rStyle w:val="CitationHTML"/>
          <w:rFonts w:asciiTheme="majorBidi" w:hAnsiTheme="majorBidi" w:cstheme="majorBidi"/>
          <w:color w:val="000000" w:themeColor="text1"/>
          <w:sz w:val="24"/>
          <w:szCs w:val="24"/>
        </w:rPr>
        <w:t xml:space="preserve"> </w:t>
      </w:r>
      <w:r w:rsidRPr="00E30870">
        <w:rPr>
          <w:rStyle w:val="CitationHTML"/>
          <w:rFonts w:asciiTheme="majorBidi" w:hAnsiTheme="majorBidi" w:cstheme="majorBidi"/>
          <w:i w:val="0"/>
          <w:iCs w:val="0"/>
          <w:color w:val="000000" w:themeColor="text1"/>
          <w:sz w:val="24"/>
          <w:szCs w:val="24"/>
        </w:rPr>
        <w:t xml:space="preserve">2008). </w:t>
      </w:r>
      <w:proofErr w:type="spellStart"/>
      <w:r w:rsidRPr="00E30870">
        <w:rPr>
          <w:rFonts w:asciiTheme="majorBidi" w:hAnsiTheme="majorBidi" w:cstheme="majorBidi"/>
          <w:color w:val="000000" w:themeColor="text1"/>
          <w:sz w:val="24"/>
          <w:szCs w:val="24"/>
        </w:rPr>
        <w:t>Oerke</w:t>
      </w:r>
      <w:proofErr w:type="spellEnd"/>
      <w:r w:rsidRPr="00E30870">
        <w:rPr>
          <w:rFonts w:asciiTheme="majorBidi" w:hAnsiTheme="majorBidi" w:cstheme="majorBidi"/>
          <w:color w:val="000000" w:themeColor="text1"/>
          <w:sz w:val="24"/>
          <w:szCs w:val="24"/>
        </w:rPr>
        <w:t xml:space="preserve"> et ses collaborateurs. (1995) ont évalué de 1988 à 1990, les pertes jugées importantes de huit récoltes agricoles causées par des pathogènes de plantes, des insectes et des plantes adventices. Les résultats obtenus sont résumés dans le tableau 1. Par ailleurs, </w:t>
      </w:r>
      <w:proofErr w:type="spellStart"/>
      <w:r w:rsidRPr="00E30870">
        <w:rPr>
          <w:rFonts w:asciiTheme="majorBidi" w:hAnsiTheme="majorBidi" w:cstheme="majorBidi"/>
          <w:color w:val="000000" w:themeColor="text1"/>
          <w:sz w:val="24"/>
          <w:szCs w:val="24"/>
        </w:rPr>
        <w:t>Strange</w:t>
      </w:r>
      <w:proofErr w:type="spellEnd"/>
      <w:r w:rsidRPr="00E30870">
        <w:rPr>
          <w:rFonts w:asciiTheme="majorBidi" w:hAnsiTheme="majorBidi" w:cstheme="majorBidi"/>
          <w:color w:val="000000" w:themeColor="text1"/>
          <w:sz w:val="24"/>
          <w:szCs w:val="24"/>
        </w:rPr>
        <w:t xml:space="preserve"> et Scott. (2005) estiment qu’au moins 10% de la production globale mondiale de la nourriture est perdue à cause des maladies des plantes.</w:t>
      </w:r>
    </w:p>
    <w:p w:rsidR="00534C26" w:rsidRPr="00E30870" w:rsidRDefault="00534C26" w:rsidP="00A5225C">
      <w:pPr>
        <w:autoSpaceDE w:val="0"/>
        <w:autoSpaceDN w:val="0"/>
        <w:adjustRightInd w:val="0"/>
        <w:spacing w:after="0"/>
        <w:jc w:val="both"/>
        <w:rPr>
          <w:rFonts w:asciiTheme="majorBidi" w:hAnsiTheme="majorBidi" w:cstheme="majorBidi"/>
          <w:color w:val="000000" w:themeColor="text1"/>
          <w:sz w:val="24"/>
          <w:szCs w:val="24"/>
        </w:rPr>
      </w:pPr>
      <w:r w:rsidRPr="00E30870">
        <w:rPr>
          <w:rFonts w:asciiTheme="majorBidi" w:hAnsiTheme="majorBidi" w:cstheme="majorBidi"/>
          <w:b/>
          <w:bCs/>
          <w:color w:val="000000" w:themeColor="text1"/>
        </w:rPr>
        <w:t>Tableau</w:t>
      </w:r>
      <w:r w:rsidR="00657572" w:rsidRPr="00E30870">
        <w:rPr>
          <w:rFonts w:asciiTheme="majorBidi" w:hAnsiTheme="majorBidi" w:cstheme="majorBidi"/>
          <w:b/>
          <w:bCs/>
          <w:color w:val="000000" w:themeColor="text1"/>
        </w:rPr>
        <w:t xml:space="preserve"> </w:t>
      </w:r>
      <w:r w:rsidRPr="00E30870">
        <w:rPr>
          <w:rFonts w:asciiTheme="majorBidi" w:hAnsiTheme="majorBidi" w:cstheme="majorBidi"/>
          <w:b/>
          <w:bCs/>
          <w:color w:val="000000" w:themeColor="text1"/>
        </w:rPr>
        <w:t>1</w:t>
      </w:r>
      <w:r w:rsidRPr="00E30870">
        <w:rPr>
          <w:rFonts w:asciiTheme="majorBidi" w:hAnsiTheme="majorBidi" w:cstheme="majorBidi"/>
          <w:color w:val="000000" w:themeColor="text1"/>
        </w:rPr>
        <w:t xml:space="preserve"> Productions réelles et pertes estimatives de huit récoltes de 1988 à 1990, par parasite et par continent (billion de dollar $ US)</w:t>
      </w:r>
      <w:r w:rsidRPr="00E30870">
        <w:rPr>
          <w:rFonts w:asciiTheme="majorBidi" w:hAnsiTheme="majorBidi" w:cstheme="majorBidi"/>
          <w:color w:val="000000" w:themeColor="text1"/>
          <w:sz w:val="24"/>
          <w:szCs w:val="24"/>
        </w:rPr>
        <w:t xml:space="preserve"> Source : </w:t>
      </w:r>
      <w:proofErr w:type="spellStart"/>
      <w:r w:rsidRPr="00E30870">
        <w:rPr>
          <w:rFonts w:asciiTheme="majorBidi" w:hAnsiTheme="majorBidi" w:cstheme="majorBidi"/>
          <w:color w:val="000000" w:themeColor="text1"/>
          <w:sz w:val="24"/>
          <w:szCs w:val="24"/>
        </w:rPr>
        <w:t>Oerke</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1995.</w:t>
      </w:r>
    </w:p>
    <w:p w:rsidR="00581BBC" w:rsidRPr="00E30870" w:rsidRDefault="00581BBC" w:rsidP="00A5225C">
      <w:pPr>
        <w:autoSpaceDE w:val="0"/>
        <w:autoSpaceDN w:val="0"/>
        <w:adjustRightInd w:val="0"/>
        <w:spacing w:after="0"/>
        <w:jc w:val="both"/>
        <w:rPr>
          <w:rFonts w:asciiTheme="majorBidi" w:hAnsiTheme="majorBidi" w:cstheme="majorBidi"/>
          <w:color w:val="000000" w:themeColor="text1"/>
        </w:rPr>
      </w:pPr>
    </w:p>
    <w:tbl>
      <w:tblPr>
        <w:tblStyle w:val="Grilledutableau"/>
        <w:tblW w:w="0" w:type="auto"/>
        <w:jc w:val="center"/>
        <w:tblLayout w:type="fixed"/>
        <w:tblLook w:val="04A0"/>
      </w:tblPr>
      <w:tblGrid>
        <w:gridCol w:w="1951"/>
        <w:gridCol w:w="1559"/>
        <w:gridCol w:w="1560"/>
        <w:gridCol w:w="992"/>
        <w:gridCol w:w="1276"/>
        <w:gridCol w:w="992"/>
      </w:tblGrid>
      <w:tr w:rsidR="00534C26" w:rsidRPr="00E30870" w:rsidTr="00E43EB2">
        <w:trPr>
          <w:jc w:val="center"/>
        </w:trPr>
        <w:tc>
          <w:tcPr>
            <w:tcW w:w="1951" w:type="dxa"/>
            <w:tcBorders>
              <w:bottom w:val="nil"/>
            </w:tcBorders>
          </w:tcPr>
          <w:p w:rsidR="00534C26" w:rsidRPr="00E30870" w:rsidRDefault="00534C26" w:rsidP="00E43EB2">
            <w:pPr>
              <w:autoSpaceDE w:val="0"/>
              <w:autoSpaceDN w:val="0"/>
              <w:adjustRightInd w:val="0"/>
              <w:jc w:val="both"/>
              <w:rPr>
                <w:rFonts w:asciiTheme="majorBidi" w:hAnsiTheme="majorBidi" w:cstheme="majorBidi"/>
                <w:b/>
                <w:bCs/>
                <w:color w:val="000000" w:themeColor="text1"/>
              </w:rPr>
            </w:pPr>
          </w:p>
        </w:tc>
        <w:tc>
          <w:tcPr>
            <w:tcW w:w="1559" w:type="dxa"/>
            <w:tcBorders>
              <w:bottom w:val="nil"/>
            </w:tcBorders>
          </w:tcPr>
          <w:p w:rsidR="00534C26" w:rsidRPr="00E30870" w:rsidRDefault="00534C26" w:rsidP="00E43EB2">
            <w:pPr>
              <w:autoSpaceDE w:val="0"/>
              <w:autoSpaceDN w:val="0"/>
              <w:adjustRightInd w:val="0"/>
              <w:jc w:val="both"/>
              <w:rPr>
                <w:rFonts w:asciiTheme="majorBidi" w:hAnsiTheme="majorBidi" w:cstheme="majorBidi"/>
                <w:b/>
                <w:bCs/>
                <w:color w:val="000000" w:themeColor="text1"/>
              </w:rPr>
            </w:pPr>
          </w:p>
        </w:tc>
        <w:tc>
          <w:tcPr>
            <w:tcW w:w="4820" w:type="dxa"/>
            <w:gridSpan w:val="4"/>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Causes de pertes</w:t>
            </w:r>
          </w:p>
        </w:tc>
      </w:tr>
      <w:tr w:rsidR="00534C26" w:rsidRPr="00E30870" w:rsidTr="00E43EB2">
        <w:trPr>
          <w:jc w:val="center"/>
        </w:trPr>
        <w:tc>
          <w:tcPr>
            <w:tcW w:w="1951" w:type="dxa"/>
            <w:tcBorders>
              <w:top w:val="nil"/>
            </w:tcBorders>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Région</w:t>
            </w:r>
          </w:p>
        </w:tc>
        <w:tc>
          <w:tcPr>
            <w:tcW w:w="1559" w:type="dxa"/>
            <w:tcBorders>
              <w:top w:val="nil"/>
            </w:tcBorders>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Production réelle</w:t>
            </w:r>
          </w:p>
        </w:tc>
        <w:tc>
          <w:tcPr>
            <w:tcW w:w="1560"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Microbes pathogènes</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Insectes</w:t>
            </w:r>
          </w:p>
        </w:tc>
        <w:tc>
          <w:tcPr>
            <w:tcW w:w="1276"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Adventices</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Total</w:t>
            </w:r>
          </w:p>
        </w:tc>
      </w:tr>
      <w:tr w:rsidR="00534C26" w:rsidRPr="00E30870" w:rsidTr="00E43EB2">
        <w:trPr>
          <w:jc w:val="center"/>
        </w:trPr>
        <w:tc>
          <w:tcPr>
            <w:tcW w:w="1951"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Afrique</w:t>
            </w:r>
          </w:p>
        </w:tc>
        <w:tc>
          <w:tcPr>
            <w:tcW w:w="1559"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13,3</w:t>
            </w:r>
          </w:p>
        </w:tc>
        <w:tc>
          <w:tcPr>
            <w:tcW w:w="1560"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4,1</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4,4</w:t>
            </w:r>
          </w:p>
        </w:tc>
        <w:tc>
          <w:tcPr>
            <w:tcW w:w="1276"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4,3</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12,8</w:t>
            </w:r>
          </w:p>
        </w:tc>
      </w:tr>
      <w:tr w:rsidR="00534C26" w:rsidRPr="00E30870" w:rsidTr="00E43EB2">
        <w:trPr>
          <w:jc w:val="center"/>
        </w:trPr>
        <w:tc>
          <w:tcPr>
            <w:tcW w:w="1951"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Amérique du nord</w:t>
            </w:r>
          </w:p>
        </w:tc>
        <w:tc>
          <w:tcPr>
            <w:tcW w:w="1559"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50,5</w:t>
            </w:r>
          </w:p>
        </w:tc>
        <w:tc>
          <w:tcPr>
            <w:tcW w:w="1560"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7,1</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7,5</w:t>
            </w:r>
          </w:p>
        </w:tc>
        <w:tc>
          <w:tcPr>
            <w:tcW w:w="1276"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8,4</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22, 9</w:t>
            </w:r>
          </w:p>
        </w:tc>
      </w:tr>
      <w:tr w:rsidR="00534C26" w:rsidRPr="00E30870" w:rsidTr="00E43EB2">
        <w:trPr>
          <w:jc w:val="center"/>
        </w:trPr>
        <w:tc>
          <w:tcPr>
            <w:tcW w:w="1951"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Amérique Latine</w:t>
            </w:r>
          </w:p>
        </w:tc>
        <w:tc>
          <w:tcPr>
            <w:tcW w:w="1559"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30,7</w:t>
            </w:r>
          </w:p>
        </w:tc>
        <w:tc>
          <w:tcPr>
            <w:tcW w:w="1560"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7,1</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7,6</w:t>
            </w:r>
          </w:p>
        </w:tc>
        <w:tc>
          <w:tcPr>
            <w:tcW w:w="1276"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7,0</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21,7</w:t>
            </w:r>
          </w:p>
        </w:tc>
      </w:tr>
      <w:tr w:rsidR="00534C26" w:rsidRPr="00E30870" w:rsidTr="00E43EB2">
        <w:trPr>
          <w:jc w:val="center"/>
        </w:trPr>
        <w:tc>
          <w:tcPr>
            <w:tcW w:w="1951"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Asie</w:t>
            </w:r>
          </w:p>
        </w:tc>
        <w:tc>
          <w:tcPr>
            <w:tcW w:w="1559"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162, 9</w:t>
            </w:r>
          </w:p>
        </w:tc>
        <w:tc>
          <w:tcPr>
            <w:tcW w:w="1560"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43,8</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57,6</w:t>
            </w:r>
          </w:p>
        </w:tc>
        <w:tc>
          <w:tcPr>
            <w:tcW w:w="1276"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43,8</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145,2</w:t>
            </w:r>
          </w:p>
        </w:tc>
      </w:tr>
      <w:tr w:rsidR="00534C26" w:rsidRPr="00E30870" w:rsidTr="00E43EB2">
        <w:trPr>
          <w:jc w:val="center"/>
        </w:trPr>
        <w:tc>
          <w:tcPr>
            <w:tcW w:w="1951"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rPr>
            </w:pPr>
            <w:r w:rsidRPr="00E30870">
              <w:rPr>
                <w:rFonts w:asciiTheme="majorBidi" w:hAnsiTheme="majorBidi" w:cstheme="majorBidi"/>
                <w:b/>
                <w:bCs/>
                <w:color w:val="000000" w:themeColor="text1"/>
              </w:rPr>
              <w:t>Europe</w:t>
            </w:r>
          </w:p>
        </w:tc>
        <w:tc>
          <w:tcPr>
            <w:tcW w:w="1559"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42,6</w:t>
            </w:r>
          </w:p>
        </w:tc>
        <w:tc>
          <w:tcPr>
            <w:tcW w:w="1560"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5,8</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6,1</w:t>
            </w:r>
          </w:p>
        </w:tc>
        <w:tc>
          <w:tcPr>
            <w:tcW w:w="1276"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4, 9</w:t>
            </w:r>
          </w:p>
        </w:tc>
        <w:tc>
          <w:tcPr>
            <w:tcW w:w="992" w:type="dxa"/>
          </w:tcPr>
          <w:p w:rsidR="00534C26" w:rsidRPr="00E30870" w:rsidRDefault="00534C26" w:rsidP="00E43EB2">
            <w:pPr>
              <w:autoSpaceDE w:val="0"/>
              <w:autoSpaceDN w:val="0"/>
              <w:adjustRightInd w:val="0"/>
              <w:jc w:val="center"/>
              <w:rPr>
                <w:rFonts w:asciiTheme="majorBidi" w:hAnsiTheme="majorBidi" w:cstheme="majorBidi"/>
                <w:b/>
                <w:bCs/>
                <w:color w:val="000000" w:themeColor="text1"/>
                <w:lang w:val="en-US"/>
              </w:rPr>
            </w:pPr>
            <w:r w:rsidRPr="00E30870">
              <w:rPr>
                <w:rFonts w:asciiTheme="majorBidi" w:hAnsiTheme="majorBidi" w:cstheme="majorBidi"/>
                <w:b/>
                <w:bCs/>
                <w:color w:val="000000" w:themeColor="text1"/>
                <w:lang w:val="en-US"/>
              </w:rPr>
              <w:t>16,8</w:t>
            </w:r>
          </w:p>
        </w:tc>
      </w:tr>
    </w:tbl>
    <w:p w:rsidR="00A5225C" w:rsidRPr="00E30870" w:rsidRDefault="00A5225C" w:rsidP="00534C26">
      <w:pPr>
        <w:spacing w:line="360" w:lineRule="auto"/>
        <w:jc w:val="both"/>
        <w:rPr>
          <w:rFonts w:asciiTheme="majorBidi" w:hAnsiTheme="majorBidi" w:cstheme="majorBidi"/>
          <w:color w:val="000000" w:themeColor="text1"/>
          <w:sz w:val="26"/>
          <w:szCs w:val="26"/>
        </w:rPr>
      </w:pPr>
    </w:p>
    <w:p w:rsidR="00534C26" w:rsidRPr="00E30870" w:rsidRDefault="00A5225C" w:rsidP="00A5225C">
      <w:pPr>
        <w:spacing w:line="360" w:lineRule="auto"/>
        <w:jc w:val="both"/>
        <w:rPr>
          <w:rStyle w:val="CitationHTML"/>
          <w:rFonts w:asciiTheme="majorBidi" w:hAnsiTheme="majorBidi" w:cstheme="majorBidi"/>
          <w:b/>
          <w:bCs/>
          <w:i w:val="0"/>
          <w:iCs w:val="0"/>
          <w:color w:val="000000" w:themeColor="text1"/>
          <w:sz w:val="24"/>
          <w:szCs w:val="24"/>
        </w:rPr>
      </w:pPr>
      <w:r w:rsidRPr="00E30870">
        <w:rPr>
          <w:rStyle w:val="CitationHTML"/>
          <w:rFonts w:asciiTheme="majorBidi" w:hAnsiTheme="majorBidi" w:cstheme="majorBidi"/>
          <w:b/>
          <w:bCs/>
          <w:i w:val="0"/>
          <w:iCs w:val="0"/>
          <w:color w:val="000000" w:themeColor="text1"/>
          <w:sz w:val="24"/>
          <w:szCs w:val="24"/>
        </w:rPr>
        <w:t>2.5.2</w:t>
      </w:r>
      <w:r w:rsidR="00A77CA8" w:rsidRPr="00E30870">
        <w:rPr>
          <w:rStyle w:val="CitationHTML"/>
          <w:rFonts w:asciiTheme="majorBidi" w:hAnsiTheme="majorBidi" w:cstheme="majorBidi"/>
          <w:b/>
          <w:bCs/>
          <w:i w:val="0"/>
          <w:iCs w:val="0"/>
          <w:color w:val="000000" w:themeColor="text1"/>
          <w:sz w:val="24"/>
          <w:szCs w:val="24"/>
        </w:rPr>
        <w:t xml:space="preserve">- </w:t>
      </w:r>
      <w:r w:rsidR="00534C26" w:rsidRPr="00E30870">
        <w:rPr>
          <w:rStyle w:val="CitationHTML"/>
          <w:rFonts w:asciiTheme="majorBidi" w:hAnsiTheme="majorBidi" w:cstheme="majorBidi"/>
          <w:b/>
          <w:bCs/>
          <w:i w:val="0"/>
          <w:iCs w:val="0"/>
          <w:color w:val="000000" w:themeColor="text1"/>
          <w:sz w:val="24"/>
          <w:szCs w:val="24"/>
        </w:rPr>
        <w:t>Pathologies fongiques des plantes</w:t>
      </w:r>
    </w:p>
    <w:p w:rsidR="00534C26" w:rsidRDefault="00534C26" w:rsidP="00534C26">
      <w:pPr>
        <w:spacing w:line="360" w:lineRule="auto"/>
        <w:jc w:val="both"/>
        <w:rPr>
          <w:rFonts w:asciiTheme="majorBidi" w:hAnsiTheme="majorBidi" w:cstheme="majorBidi"/>
          <w:color w:val="000000" w:themeColor="text1"/>
          <w:sz w:val="24"/>
          <w:szCs w:val="24"/>
        </w:rPr>
      </w:pPr>
      <w:r w:rsidRPr="00E30870">
        <w:rPr>
          <w:rStyle w:val="CitationHTML"/>
          <w:rFonts w:asciiTheme="majorBidi" w:hAnsiTheme="majorBidi" w:cstheme="majorBidi"/>
          <w:i w:val="0"/>
          <w:iCs w:val="0"/>
          <w:color w:val="000000" w:themeColor="text1"/>
          <w:sz w:val="24"/>
          <w:szCs w:val="24"/>
        </w:rPr>
        <w:t xml:space="preserve">Les champignons sont eux seuls responsables de 70% des pathologies végétales. En effet, sur les 100.000 espèces fongiques décrites dans la littérature, 8000, sont des pathogènes de plantes. </w:t>
      </w:r>
      <w:r w:rsidRPr="00E30870">
        <w:rPr>
          <w:rFonts w:asciiTheme="majorBidi" w:hAnsiTheme="majorBidi" w:cstheme="majorBidi"/>
          <w:color w:val="000000" w:themeColor="text1"/>
          <w:sz w:val="24"/>
          <w:szCs w:val="24"/>
        </w:rPr>
        <w:t xml:space="preserve">Les maladies qu’elles provoquent sont qualifiées de cryptogamiques </w:t>
      </w:r>
      <w:r w:rsidRPr="00E30870">
        <w:rPr>
          <w:rStyle w:val="CitationHTML"/>
          <w:rFonts w:asciiTheme="majorBidi" w:hAnsiTheme="majorBidi" w:cstheme="majorBidi"/>
          <w:i w:val="0"/>
          <w:iCs w:val="0"/>
          <w:color w:val="000000" w:themeColor="text1"/>
          <w:sz w:val="24"/>
          <w:szCs w:val="24"/>
        </w:rPr>
        <w:t>(</w:t>
      </w:r>
      <w:r w:rsidRPr="00E30870">
        <w:rPr>
          <w:rFonts w:asciiTheme="majorBidi" w:hAnsiTheme="majorBidi" w:cstheme="majorBidi"/>
          <w:color w:val="000000" w:themeColor="text1"/>
          <w:sz w:val="24"/>
          <w:szCs w:val="24"/>
        </w:rPr>
        <w:t>David et Diane, 1993). En phytopathologie, la désignation des maladies se base sur une terminologie disparate. À l’origine, l'usage du symptôme le plu</w:t>
      </w:r>
      <w:r w:rsidR="00CC35C6" w:rsidRPr="00E30870">
        <w:rPr>
          <w:rFonts w:asciiTheme="majorBidi" w:hAnsiTheme="majorBidi" w:cstheme="majorBidi"/>
          <w:color w:val="000000" w:themeColor="text1"/>
          <w:sz w:val="24"/>
          <w:szCs w:val="24"/>
        </w:rPr>
        <w:t xml:space="preserve">s caractéristique a été adopté </w:t>
      </w:r>
      <w:r w:rsidRPr="00E30870">
        <w:rPr>
          <w:rFonts w:asciiTheme="majorBidi" w:hAnsiTheme="majorBidi" w:cstheme="majorBidi"/>
          <w:color w:val="000000" w:themeColor="text1"/>
          <w:sz w:val="24"/>
          <w:szCs w:val="24"/>
        </w:rPr>
        <w:t xml:space="preserve">(le blanc, la rouille, le charbon, </w:t>
      </w:r>
      <w:proofErr w:type="spellStart"/>
      <w:r w:rsidRPr="00E30870">
        <w:rPr>
          <w:rFonts w:asciiTheme="majorBidi" w:hAnsiTheme="majorBidi" w:cstheme="majorBidi"/>
          <w:color w:val="000000" w:themeColor="text1"/>
          <w:sz w:val="24"/>
          <w:szCs w:val="24"/>
        </w:rPr>
        <w:t>etc</w:t>
      </w:r>
      <w:proofErr w:type="spellEnd"/>
      <w:r w:rsidRPr="00E30870">
        <w:rPr>
          <w:rFonts w:asciiTheme="majorBidi" w:hAnsiTheme="majorBidi" w:cstheme="majorBidi"/>
          <w:color w:val="000000" w:themeColor="text1"/>
          <w:sz w:val="24"/>
          <w:szCs w:val="24"/>
        </w:rPr>
        <w:t xml:space="preserve">) pour la nomination de ces pathologies, suivi après par l'usage du suffixe </w:t>
      </w:r>
      <w:r w:rsidRPr="00E30870">
        <w:rPr>
          <w:rFonts w:asciiTheme="majorBidi" w:hAnsiTheme="majorBidi" w:cstheme="majorBidi"/>
          <w:bCs/>
          <w:color w:val="000000" w:themeColor="text1"/>
          <w:sz w:val="24"/>
          <w:szCs w:val="24"/>
        </w:rPr>
        <w:t>ose</w:t>
      </w:r>
      <w:r w:rsidRPr="00E30870">
        <w:rPr>
          <w:rFonts w:asciiTheme="majorBidi" w:hAnsiTheme="majorBidi" w:cstheme="majorBidi"/>
          <w:color w:val="000000" w:themeColor="text1"/>
          <w:sz w:val="24"/>
          <w:szCs w:val="24"/>
        </w:rPr>
        <w:t xml:space="preserve"> accolé au nom du genre du champignon, (</w:t>
      </w:r>
      <w:proofErr w:type="spellStart"/>
      <w:r w:rsidRPr="00E30870">
        <w:rPr>
          <w:rFonts w:asciiTheme="majorBidi" w:hAnsiTheme="majorBidi" w:cstheme="majorBidi"/>
          <w:color w:val="000000" w:themeColor="text1"/>
          <w:sz w:val="24"/>
          <w:szCs w:val="24"/>
        </w:rPr>
        <w:t>cercosporiose</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alternariose</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stemphyliose</w:t>
      </w:r>
      <w:proofErr w:type="spellEnd"/>
      <w:r w:rsidRPr="00E30870">
        <w:rPr>
          <w:rFonts w:asciiTheme="majorBidi" w:hAnsiTheme="majorBidi" w:cstheme="majorBidi"/>
          <w:color w:val="000000" w:themeColor="text1"/>
          <w:sz w:val="24"/>
          <w:szCs w:val="24"/>
        </w:rPr>
        <w:t>, etc</w:t>
      </w:r>
      <w:r w:rsidR="00CC35C6" w:rsidRPr="00E30870">
        <w:rPr>
          <w:rFonts w:asciiTheme="majorBidi" w:hAnsiTheme="majorBidi" w:cstheme="majorBidi"/>
          <w:color w:val="000000" w:themeColor="text1"/>
          <w:sz w:val="24"/>
          <w:szCs w:val="24"/>
        </w:rPr>
        <w:t>.</w:t>
      </w:r>
      <w:r w:rsidRPr="00E30870">
        <w:rPr>
          <w:rFonts w:asciiTheme="majorBidi" w:hAnsiTheme="majorBidi" w:cstheme="majorBidi"/>
          <w:color w:val="000000" w:themeColor="text1"/>
          <w:sz w:val="24"/>
          <w:szCs w:val="24"/>
        </w:rPr>
        <w:t xml:space="preserve">). Enfin, de manière aussi discutable, s'est installée la formule assimilant directement la maladie à son agent pathogène (ex. le </w:t>
      </w:r>
      <w:proofErr w:type="spellStart"/>
      <w:r w:rsidRPr="00E30870">
        <w:rPr>
          <w:rFonts w:asciiTheme="majorBidi" w:hAnsiTheme="majorBidi" w:cstheme="majorBidi"/>
          <w:color w:val="000000" w:themeColor="text1"/>
          <w:sz w:val="24"/>
          <w:szCs w:val="24"/>
        </w:rPr>
        <w:t>Phoma</w:t>
      </w:r>
      <w:proofErr w:type="spellEnd"/>
      <w:r w:rsidRPr="00E30870">
        <w:rPr>
          <w:rFonts w:asciiTheme="majorBidi" w:hAnsiTheme="majorBidi" w:cstheme="majorBidi"/>
          <w:color w:val="000000" w:themeColor="text1"/>
          <w:sz w:val="24"/>
          <w:szCs w:val="24"/>
        </w:rPr>
        <w:t xml:space="preserve">, le </w:t>
      </w:r>
      <w:proofErr w:type="spellStart"/>
      <w:r w:rsidRPr="00E30870">
        <w:rPr>
          <w:rFonts w:asciiTheme="majorBidi" w:hAnsiTheme="majorBidi" w:cstheme="majorBidi"/>
          <w:color w:val="000000" w:themeColor="text1"/>
          <w:sz w:val="24"/>
          <w:szCs w:val="24"/>
        </w:rPr>
        <w:t>Corynespora</w:t>
      </w:r>
      <w:proofErr w:type="spellEnd"/>
      <w:r w:rsidRPr="00E30870">
        <w:rPr>
          <w:rFonts w:asciiTheme="majorBidi" w:hAnsiTheme="majorBidi" w:cstheme="majorBidi"/>
          <w:color w:val="000000" w:themeColor="text1"/>
          <w:sz w:val="24"/>
          <w:szCs w:val="24"/>
        </w:rPr>
        <w:t>, etc.)</w:t>
      </w:r>
      <w:r w:rsidRPr="00E30870">
        <w:rPr>
          <w:rStyle w:val="CitationHTML"/>
          <w:rFonts w:asciiTheme="majorBidi" w:hAnsiTheme="majorBidi" w:cstheme="majorBidi"/>
          <w:color w:val="000000" w:themeColor="text1"/>
          <w:sz w:val="24"/>
          <w:szCs w:val="24"/>
        </w:rPr>
        <w:t xml:space="preserve"> </w:t>
      </w:r>
      <w:r w:rsidRPr="00E30870">
        <w:rPr>
          <w:rStyle w:val="CitationHTML"/>
          <w:rFonts w:asciiTheme="majorBidi" w:hAnsiTheme="majorBidi" w:cstheme="majorBidi"/>
          <w:i w:val="0"/>
          <w:iCs w:val="0"/>
          <w:color w:val="000000" w:themeColor="text1"/>
          <w:sz w:val="24"/>
          <w:szCs w:val="24"/>
        </w:rPr>
        <w:t>(</w:t>
      </w:r>
      <w:proofErr w:type="spellStart"/>
      <w:r w:rsidRPr="00E30870">
        <w:rPr>
          <w:rStyle w:val="CitationHTML"/>
          <w:rFonts w:asciiTheme="majorBidi" w:hAnsiTheme="majorBidi" w:cstheme="majorBidi"/>
          <w:i w:val="0"/>
          <w:iCs w:val="0"/>
          <w:color w:val="000000" w:themeColor="text1"/>
          <w:sz w:val="24"/>
          <w:szCs w:val="24"/>
        </w:rPr>
        <w:t>Declert</w:t>
      </w:r>
      <w:proofErr w:type="spellEnd"/>
      <w:r w:rsidRPr="00E30870">
        <w:rPr>
          <w:rStyle w:val="CitationHTML"/>
          <w:rFonts w:asciiTheme="majorBidi" w:hAnsiTheme="majorBidi" w:cstheme="majorBidi"/>
          <w:i w:val="0"/>
          <w:iCs w:val="0"/>
          <w:color w:val="000000" w:themeColor="text1"/>
          <w:sz w:val="24"/>
          <w:szCs w:val="24"/>
        </w:rPr>
        <w:t>,</w:t>
      </w:r>
      <w:r w:rsidRPr="00E30870">
        <w:rPr>
          <w:rStyle w:val="CitationHTML"/>
          <w:rFonts w:asciiTheme="majorBidi" w:hAnsiTheme="majorBidi" w:cstheme="majorBidi"/>
          <w:color w:val="000000" w:themeColor="text1"/>
          <w:sz w:val="24"/>
          <w:szCs w:val="24"/>
        </w:rPr>
        <w:t xml:space="preserve"> </w:t>
      </w:r>
      <w:r w:rsidRPr="00E30870">
        <w:rPr>
          <w:rFonts w:asciiTheme="majorBidi" w:hAnsiTheme="majorBidi" w:cstheme="majorBidi"/>
          <w:color w:val="000000" w:themeColor="text1"/>
          <w:sz w:val="24"/>
          <w:szCs w:val="24"/>
        </w:rPr>
        <w:t xml:space="preserve">1990). Les principales maladies fongiques listées par Bayer. (2001) sont résumées dans le tableau 2. </w:t>
      </w:r>
    </w:p>
    <w:p w:rsidR="00DF1391" w:rsidRDefault="00DF1391" w:rsidP="00534C26">
      <w:pPr>
        <w:spacing w:line="360" w:lineRule="auto"/>
        <w:jc w:val="both"/>
        <w:rPr>
          <w:rFonts w:asciiTheme="majorBidi" w:hAnsiTheme="majorBidi" w:cstheme="majorBidi"/>
          <w:color w:val="000000" w:themeColor="text1"/>
          <w:sz w:val="24"/>
          <w:szCs w:val="24"/>
        </w:rPr>
      </w:pPr>
    </w:p>
    <w:p w:rsidR="00DF1391" w:rsidRPr="00E30870" w:rsidRDefault="00DF1391" w:rsidP="00534C26">
      <w:pPr>
        <w:spacing w:line="360" w:lineRule="auto"/>
        <w:jc w:val="both"/>
        <w:rPr>
          <w:rFonts w:asciiTheme="majorBidi" w:hAnsiTheme="majorBidi" w:cstheme="majorBidi"/>
          <w:color w:val="000000" w:themeColor="text1"/>
          <w:sz w:val="24"/>
          <w:szCs w:val="24"/>
        </w:rPr>
      </w:pPr>
    </w:p>
    <w:p w:rsidR="00534C26" w:rsidRPr="00E30870" w:rsidRDefault="00534C26" w:rsidP="00534C26">
      <w:pPr>
        <w:spacing w:line="360" w:lineRule="auto"/>
        <w:rPr>
          <w:rFonts w:asciiTheme="majorBidi" w:hAnsiTheme="majorBidi" w:cstheme="majorBidi"/>
          <w:color w:val="000000" w:themeColor="text1"/>
        </w:rPr>
      </w:pPr>
      <w:r w:rsidRPr="00E30870">
        <w:rPr>
          <w:rFonts w:asciiTheme="majorBidi" w:hAnsiTheme="majorBidi" w:cstheme="majorBidi"/>
          <w:b/>
          <w:bCs/>
          <w:color w:val="000000" w:themeColor="text1"/>
        </w:rPr>
        <w:lastRenderedPageBreak/>
        <w:t>Tableau</w:t>
      </w:r>
      <w:r w:rsidR="00657572" w:rsidRPr="00E30870">
        <w:rPr>
          <w:rFonts w:asciiTheme="majorBidi" w:hAnsiTheme="majorBidi" w:cstheme="majorBidi"/>
          <w:b/>
          <w:bCs/>
          <w:color w:val="000000" w:themeColor="text1"/>
        </w:rPr>
        <w:t xml:space="preserve"> </w:t>
      </w:r>
      <w:r w:rsidRPr="00E30870">
        <w:rPr>
          <w:rFonts w:asciiTheme="majorBidi" w:hAnsiTheme="majorBidi" w:cstheme="majorBidi"/>
          <w:b/>
          <w:bCs/>
          <w:color w:val="000000" w:themeColor="text1"/>
        </w:rPr>
        <w:t>2</w:t>
      </w:r>
      <w:r w:rsidRPr="00E30870">
        <w:rPr>
          <w:rFonts w:asciiTheme="majorBidi" w:hAnsiTheme="majorBidi" w:cstheme="majorBidi"/>
          <w:color w:val="000000" w:themeColor="text1"/>
        </w:rPr>
        <w:t xml:space="preserve"> Maladies fongiques touchant les principales</w:t>
      </w:r>
      <w:r w:rsidR="00A77CA8" w:rsidRPr="00E30870">
        <w:rPr>
          <w:rFonts w:asciiTheme="majorBidi" w:hAnsiTheme="majorBidi" w:cstheme="majorBidi"/>
          <w:color w:val="000000" w:themeColor="text1"/>
        </w:rPr>
        <w:t xml:space="preserve"> cultures dans le monde (Source</w:t>
      </w:r>
      <w:r w:rsidRPr="00E30870">
        <w:rPr>
          <w:rFonts w:asciiTheme="majorBidi" w:hAnsiTheme="majorBidi" w:cstheme="majorBidi"/>
          <w:color w:val="000000" w:themeColor="text1"/>
        </w:rPr>
        <w:t>: Bayer, 2001).</w:t>
      </w:r>
    </w:p>
    <w:p w:rsidR="007443DF" w:rsidRPr="00E30870" w:rsidRDefault="00534C26" w:rsidP="00DF1391">
      <w:pPr>
        <w:spacing w:line="360" w:lineRule="auto"/>
        <w:ind w:firstLine="708"/>
        <w:jc w:val="center"/>
        <w:rPr>
          <w:rFonts w:asciiTheme="majorBidi" w:hAnsiTheme="majorBidi" w:cstheme="majorBidi"/>
          <w:color w:val="000000" w:themeColor="text1"/>
        </w:rPr>
      </w:pPr>
      <w:r w:rsidRPr="00E30870">
        <w:rPr>
          <w:rFonts w:asciiTheme="majorBidi" w:hAnsiTheme="majorBidi" w:cstheme="majorBidi"/>
          <w:noProof/>
          <w:color w:val="000000" w:themeColor="text1"/>
          <w:lang w:eastAsia="fr-FR"/>
        </w:rPr>
        <w:drawing>
          <wp:inline distT="0" distB="0" distL="0" distR="0">
            <wp:extent cx="4782689" cy="3456891"/>
            <wp:effectExtent l="19050" t="19050" r="17911" b="10209"/>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953" r="1185" b="2238"/>
                    <a:stretch>
                      <a:fillRect/>
                    </a:stretch>
                  </pic:blipFill>
                  <pic:spPr bwMode="auto">
                    <a:xfrm>
                      <a:off x="0" y="0"/>
                      <a:ext cx="4786100" cy="3459357"/>
                    </a:xfrm>
                    <a:prstGeom prst="rect">
                      <a:avLst/>
                    </a:prstGeom>
                    <a:noFill/>
                    <a:ln w="12700">
                      <a:solidFill>
                        <a:schemeClr val="tx1"/>
                      </a:solidFill>
                      <a:miter lim="800000"/>
                      <a:headEnd/>
                      <a:tailEnd/>
                    </a:ln>
                  </pic:spPr>
                </pic:pic>
              </a:graphicData>
            </a:graphic>
          </wp:inline>
        </w:drawing>
      </w:r>
    </w:p>
    <w:p w:rsidR="00534C26" w:rsidRPr="00E30870" w:rsidRDefault="00A77CA8" w:rsidP="005367D7">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E30870">
        <w:rPr>
          <w:rFonts w:asciiTheme="majorBidi" w:hAnsiTheme="majorBidi" w:cstheme="majorBidi"/>
          <w:b/>
          <w:bCs/>
          <w:color w:val="000000" w:themeColor="text1"/>
          <w:sz w:val="24"/>
          <w:szCs w:val="24"/>
        </w:rPr>
        <w:t xml:space="preserve">2.5.3- </w:t>
      </w:r>
      <w:r w:rsidR="005367D7" w:rsidRPr="00E30870">
        <w:rPr>
          <w:rFonts w:asciiTheme="majorBidi" w:hAnsiTheme="majorBidi" w:cstheme="majorBidi"/>
          <w:b/>
          <w:bCs/>
          <w:color w:val="000000" w:themeColor="text1"/>
          <w:sz w:val="24"/>
          <w:szCs w:val="24"/>
        </w:rPr>
        <w:t>P</w:t>
      </w:r>
      <w:r w:rsidR="00534C26" w:rsidRPr="00E30870">
        <w:rPr>
          <w:rFonts w:asciiTheme="majorBidi" w:hAnsiTheme="majorBidi" w:cstheme="majorBidi"/>
          <w:b/>
          <w:bCs/>
          <w:color w:val="000000" w:themeColor="text1"/>
          <w:sz w:val="24"/>
          <w:szCs w:val="24"/>
        </w:rPr>
        <w:t xml:space="preserve">rincipaux </w:t>
      </w:r>
      <w:r w:rsidRPr="00E30870">
        <w:rPr>
          <w:rFonts w:asciiTheme="majorBidi" w:hAnsiTheme="majorBidi" w:cstheme="majorBidi"/>
          <w:b/>
          <w:bCs/>
          <w:color w:val="000000" w:themeColor="text1"/>
          <w:sz w:val="24"/>
          <w:szCs w:val="24"/>
        </w:rPr>
        <w:t>symptômes de maladies fongiques</w:t>
      </w:r>
    </w:p>
    <w:p w:rsidR="00534C26" w:rsidRPr="00E30870" w:rsidRDefault="005367D7" w:rsidP="005367D7">
      <w:pPr>
        <w:autoSpaceDE w:val="0"/>
        <w:autoSpaceDN w:val="0"/>
        <w:adjustRightInd w:val="0"/>
        <w:spacing w:after="0" w:line="360" w:lineRule="auto"/>
        <w:jc w:val="both"/>
        <w:rPr>
          <w:rFonts w:asciiTheme="majorBidi" w:hAnsiTheme="majorBidi" w:cstheme="majorBidi"/>
          <w:i/>
          <w:iCs/>
          <w:color w:val="000000" w:themeColor="text1"/>
          <w:sz w:val="24"/>
          <w:szCs w:val="24"/>
        </w:rPr>
      </w:pPr>
      <w:r w:rsidRPr="00E30870">
        <w:rPr>
          <w:rFonts w:asciiTheme="majorBidi" w:hAnsiTheme="majorBidi" w:cstheme="majorBidi"/>
          <w:i/>
          <w:iCs/>
          <w:color w:val="000000" w:themeColor="text1"/>
          <w:sz w:val="24"/>
          <w:szCs w:val="24"/>
        </w:rPr>
        <w:t xml:space="preserve">2.5.3.1- </w:t>
      </w:r>
      <w:r w:rsidR="00534C26" w:rsidRPr="00E30870">
        <w:rPr>
          <w:rFonts w:asciiTheme="majorBidi" w:hAnsiTheme="majorBidi" w:cstheme="majorBidi"/>
          <w:i/>
          <w:iCs/>
          <w:color w:val="000000" w:themeColor="text1"/>
          <w:sz w:val="24"/>
          <w:szCs w:val="24"/>
        </w:rPr>
        <w:t>Dépérissement</w:t>
      </w: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Le dépérissement d’une plante est synonyme de l’affaiblissement et de disparition progressive de la plante (figure 3-a). En effet, la croissance de la plante ralentit avant de s'arrêter, les feuilles et les apex des rameaux se décolorent et se flétrissent (</w:t>
      </w:r>
      <w:proofErr w:type="spellStart"/>
      <w:r w:rsidRPr="00E30870">
        <w:rPr>
          <w:rFonts w:asciiTheme="majorBidi" w:hAnsiTheme="majorBidi" w:cstheme="majorBidi"/>
          <w:color w:val="000000" w:themeColor="text1"/>
          <w:sz w:val="24"/>
          <w:szCs w:val="24"/>
        </w:rPr>
        <w:t>Declert</w:t>
      </w:r>
      <w:proofErr w:type="spellEnd"/>
      <w:r w:rsidRPr="00E30870">
        <w:rPr>
          <w:rFonts w:asciiTheme="majorBidi" w:hAnsiTheme="majorBidi" w:cstheme="majorBidi"/>
          <w:color w:val="000000" w:themeColor="text1"/>
          <w:sz w:val="24"/>
          <w:szCs w:val="24"/>
        </w:rPr>
        <w:t>, 1990).</w:t>
      </w:r>
    </w:p>
    <w:p w:rsidR="00BD55F2" w:rsidRPr="00E30870" w:rsidRDefault="00BD55F2" w:rsidP="00BD55F2">
      <w:pPr>
        <w:autoSpaceDE w:val="0"/>
        <w:autoSpaceDN w:val="0"/>
        <w:adjustRightInd w:val="0"/>
        <w:spacing w:after="0" w:line="360" w:lineRule="auto"/>
        <w:jc w:val="both"/>
        <w:rPr>
          <w:rFonts w:asciiTheme="majorBidi" w:hAnsiTheme="majorBidi" w:cstheme="majorBidi"/>
          <w:color w:val="000000" w:themeColor="text1"/>
          <w:sz w:val="24"/>
          <w:szCs w:val="24"/>
        </w:rPr>
      </w:pPr>
    </w:p>
    <w:p w:rsidR="00534C26" w:rsidRPr="00E30870" w:rsidRDefault="00BD55F2" w:rsidP="00BD55F2">
      <w:pPr>
        <w:autoSpaceDE w:val="0"/>
        <w:autoSpaceDN w:val="0"/>
        <w:adjustRightInd w:val="0"/>
        <w:spacing w:after="0" w:line="360" w:lineRule="auto"/>
        <w:jc w:val="both"/>
        <w:rPr>
          <w:rFonts w:asciiTheme="majorBidi" w:hAnsiTheme="majorBidi" w:cstheme="majorBidi"/>
          <w:i/>
          <w:iCs/>
          <w:color w:val="000000" w:themeColor="text1"/>
          <w:sz w:val="24"/>
          <w:szCs w:val="24"/>
        </w:rPr>
      </w:pPr>
      <w:r w:rsidRPr="00E30870">
        <w:rPr>
          <w:rFonts w:asciiTheme="majorBidi" w:hAnsiTheme="majorBidi" w:cstheme="majorBidi"/>
          <w:i/>
          <w:iCs/>
          <w:color w:val="000000" w:themeColor="text1"/>
          <w:sz w:val="24"/>
          <w:szCs w:val="24"/>
        </w:rPr>
        <w:t>2.5.3.2-</w:t>
      </w:r>
      <w:r w:rsidRPr="00E30870">
        <w:rPr>
          <w:rFonts w:asciiTheme="majorBidi" w:hAnsiTheme="majorBidi" w:cstheme="majorBidi"/>
          <w:color w:val="000000" w:themeColor="text1"/>
          <w:sz w:val="24"/>
          <w:szCs w:val="24"/>
        </w:rPr>
        <w:t xml:space="preserve"> </w:t>
      </w:r>
      <w:r w:rsidR="00534C26" w:rsidRPr="00E30870">
        <w:rPr>
          <w:rFonts w:asciiTheme="majorBidi" w:hAnsiTheme="majorBidi" w:cstheme="majorBidi"/>
          <w:i/>
          <w:iCs/>
          <w:color w:val="000000" w:themeColor="text1"/>
          <w:sz w:val="24"/>
          <w:szCs w:val="24"/>
        </w:rPr>
        <w:t>Flétrissement</w:t>
      </w:r>
    </w:p>
    <w:p w:rsidR="00534C26" w:rsidRPr="00E30870" w:rsidRDefault="00534C26" w:rsidP="00E76830">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 xml:space="preserve">Le flétrissement d’une plante correspond à son </w:t>
      </w:r>
      <w:hyperlink r:id="rId21" w:anchor="anchorSynonyms" w:tooltip="synonyme de dessèchement" w:history="1">
        <w:r w:rsidRPr="00E30870">
          <w:rPr>
            <w:rStyle w:val="wording10"/>
            <w:rFonts w:asciiTheme="majorBidi" w:hAnsiTheme="majorBidi" w:cstheme="majorBidi"/>
            <w:color w:val="000000" w:themeColor="text1"/>
            <w:sz w:val="24"/>
            <w:szCs w:val="24"/>
          </w:rPr>
          <w:t>dessèchement</w:t>
        </w:r>
      </w:hyperlink>
      <w:r w:rsidRPr="00E30870">
        <w:rPr>
          <w:rFonts w:asciiTheme="majorBidi" w:hAnsiTheme="majorBidi" w:cstheme="majorBidi"/>
          <w:color w:val="000000" w:themeColor="text1"/>
          <w:sz w:val="24"/>
          <w:szCs w:val="24"/>
        </w:rPr>
        <w:t xml:space="preserve"> et ou son </w:t>
      </w:r>
      <w:hyperlink r:id="rId22" w:anchor="anchorSynonyms" w:tooltip="synonyme de vieillissement" w:history="1">
        <w:r w:rsidRPr="00E30870">
          <w:rPr>
            <w:rStyle w:val="wording10"/>
            <w:rFonts w:asciiTheme="majorBidi" w:hAnsiTheme="majorBidi" w:cstheme="majorBidi"/>
            <w:color w:val="000000" w:themeColor="text1"/>
            <w:sz w:val="24"/>
            <w:szCs w:val="24"/>
          </w:rPr>
          <w:t>vieillissement</w:t>
        </w:r>
      </w:hyperlink>
      <w:r w:rsidRPr="00E30870">
        <w:rPr>
          <w:rFonts w:asciiTheme="majorBidi" w:hAnsiTheme="majorBidi" w:cstheme="majorBidi"/>
          <w:color w:val="000000" w:themeColor="text1"/>
          <w:sz w:val="24"/>
          <w:szCs w:val="24"/>
        </w:rPr>
        <w:t xml:space="preserve">. Il s’agit de la diminution de la turgescence des tissus, entraînant une fanaison plus ou moins prononcée du feuillage (figure 3-b) et des jeunes rameaux. Ce symptôme peut survenir suite à un manque </w:t>
      </w:r>
      <w:r w:rsidR="0084351E" w:rsidRPr="00E30870">
        <w:rPr>
          <w:rFonts w:asciiTheme="majorBidi" w:hAnsiTheme="majorBidi" w:cstheme="majorBidi"/>
          <w:color w:val="000000" w:themeColor="text1"/>
          <w:sz w:val="24"/>
          <w:szCs w:val="24"/>
        </w:rPr>
        <w:t>d'eau disponible dans le sol et/</w:t>
      </w:r>
      <w:r w:rsidRPr="00E30870">
        <w:rPr>
          <w:rFonts w:asciiTheme="majorBidi" w:hAnsiTheme="majorBidi" w:cstheme="majorBidi"/>
          <w:color w:val="000000" w:themeColor="text1"/>
          <w:sz w:val="24"/>
          <w:szCs w:val="24"/>
        </w:rPr>
        <w:t>ou une évaporation exagérée. Les causes parasitaires du manque d’eau se situent à trois niveaux, en l’occurrence: l’altération des racines (défaut d'absorption);</w:t>
      </w:r>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l’action des toxines parasitaires (dérégulation de la transpiration); et la</w:t>
      </w:r>
      <w:r w:rsidRPr="00E30870">
        <w:rPr>
          <w:rFonts w:asciiTheme="majorBidi" w:hAnsiTheme="majorBidi" w:cstheme="majorBidi"/>
          <w:i/>
          <w:iCs/>
          <w:color w:val="000000" w:themeColor="text1"/>
          <w:sz w:val="24"/>
          <w:szCs w:val="24"/>
        </w:rPr>
        <w:t xml:space="preserve"> </w:t>
      </w:r>
      <w:proofErr w:type="spellStart"/>
      <w:r w:rsidR="0084351E" w:rsidRPr="00E30870">
        <w:rPr>
          <w:rFonts w:asciiTheme="majorBidi" w:hAnsiTheme="majorBidi" w:cstheme="majorBidi"/>
          <w:color w:val="000000" w:themeColor="text1"/>
          <w:sz w:val="24"/>
          <w:szCs w:val="24"/>
        </w:rPr>
        <w:t>t</w:t>
      </w:r>
      <w:r w:rsidRPr="00E30870">
        <w:rPr>
          <w:rFonts w:asciiTheme="majorBidi" w:hAnsiTheme="majorBidi" w:cstheme="majorBidi"/>
          <w:color w:val="000000" w:themeColor="text1"/>
          <w:sz w:val="24"/>
          <w:szCs w:val="24"/>
        </w:rPr>
        <w:t>raché</w:t>
      </w:r>
      <w:r w:rsidR="00AA183C" w:rsidRPr="00E30870">
        <w:rPr>
          <w:rFonts w:asciiTheme="majorBidi" w:hAnsiTheme="majorBidi" w:cstheme="majorBidi"/>
          <w:color w:val="000000" w:themeColor="text1"/>
          <w:sz w:val="24"/>
          <w:szCs w:val="24"/>
        </w:rPr>
        <w:t>obactériose</w:t>
      </w:r>
      <w:proofErr w:type="spellEnd"/>
      <w:r w:rsidR="00AA183C" w:rsidRPr="00E30870">
        <w:rPr>
          <w:rFonts w:asciiTheme="majorBidi" w:hAnsiTheme="majorBidi" w:cstheme="majorBidi"/>
          <w:color w:val="000000" w:themeColor="text1"/>
          <w:sz w:val="24"/>
          <w:szCs w:val="24"/>
        </w:rPr>
        <w:t xml:space="preserve"> et/ou </w:t>
      </w:r>
      <w:proofErr w:type="spellStart"/>
      <w:r w:rsidR="00AA183C" w:rsidRPr="00E30870">
        <w:rPr>
          <w:rFonts w:asciiTheme="majorBidi" w:hAnsiTheme="majorBidi" w:cstheme="majorBidi"/>
          <w:color w:val="000000" w:themeColor="text1"/>
          <w:sz w:val="24"/>
          <w:szCs w:val="24"/>
        </w:rPr>
        <w:t>trachéomycose</w:t>
      </w:r>
      <w:proofErr w:type="spellEnd"/>
      <w:r w:rsidR="00AA183C" w:rsidRPr="00E30870">
        <w:rPr>
          <w:rFonts w:asciiTheme="majorBidi" w:hAnsiTheme="majorBidi" w:cstheme="majorBidi"/>
          <w:color w:val="000000" w:themeColor="text1"/>
          <w:sz w:val="24"/>
          <w:szCs w:val="24"/>
        </w:rPr>
        <w:t xml:space="preserve"> </w:t>
      </w:r>
      <w:r w:rsidRPr="00E30870">
        <w:rPr>
          <w:rFonts w:asciiTheme="majorBidi" w:hAnsiTheme="majorBidi" w:cstheme="majorBidi"/>
          <w:color w:val="000000" w:themeColor="text1"/>
          <w:sz w:val="24"/>
          <w:szCs w:val="24"/>
        </w:rPr>
        <w:t>(défaut de circulation interne par altération du système conducteur de la plante) (</w:t>
      </w:r>
      <w:proofErr w:type="spellStart"/>
      <w:r w:rsidRPr="00E30870">
        <w:rPr>
          <w:rFonts w:asciiTheme="majorBidi" w:hAnsiTheme="majorBidi" w:cstheme="majorBidi"/>
          <w:color w:val="000000" w:themeColor="text1"/>
          <w:sz w:val="24"/>
          <w:szCs w:val="24"/>
        </w:rPr>
        <w:t>Declert</w:t>
      </w:r>
      <w:proofErr w:type="spellEnd"/>
      <w:r w:rsidRPr="00E30870">
        <w:rPr>
          <w:rFonts w:asciiTheme="majorBidi" w:hAnsiTheme="majorBidi" w:cstheme="majorBidi"/>
          <w:color w:val="000000" w:themeColor="text1"/>
          <w:sz w:val="24"/>
          <w:szCs w:val="24"/>
        </w:rPr>
        <w:t>, 1990)</w:t>
      </w:r>
      <w:r w:rsidR="00AA183C" w:rsidRPr="00E30870">
        <w:rPr>
          <w:rFonts w:asciiTheme="majorBidi" w:hAnsiTheme="majorBidi" w:cstheme="majorBidi"/>
          <w:color w:val="000000" w:themeColor="text1"/>
          <w:sz w:val="24"/>
          <w:szCs w:val="24"/>
        </w:rPr>
        <w:t>.</w:t>
      </w:r>
    </w:p>
    <w:p w:rsidR="00F21F27" w:rsidRPr="00E30870" w:rsidRDefault="00F21F27" w:rsidP="00E76830">
      <w:pPr>
        <w:autoSpaceDE w:val="0"/>
        <w:autoSpaceDN w:val="0"/>
        <w:adjustRightInd w:val="0"/>
        <w:spacing w:after="0" w:line="360" w:lineRule="auto"/>
        <w:jc w:val="both"/>
        <w:rPr>
          <w:rFonts w:asciiTheme="majorBidi" w:hAnsiTheme="majorBidi" w:cstheme="majorBidi"/>
          <w:i/>
          <w:iCs/>
          <w:color w:val="000000" w:themeColor="text1"/>
          <w:sz w:val="24"/>
          <w:szCs w:val="24"/>
        </w:rPr>
      </w:pPr>
    </w:p>
    <w:p w:rsidR="00534C26" w:rsidRPr="00E30870" w:rsidRDefault="00F83B7D" w:rsidP="00534C26">
      <w:pPr>
        <w:jc w:val="center"/>
        <w:rPr>
          <w:rFonts w:asciiTheme="majorBidi" w:hAnsiTheme="majorBidi" w:cstheme="majorBidi"/>
          <w:color w:val="000000" w:themeColor="text1"/>
        </w:rPr>
      </w:pPr>
      <w:r>
        <w:rPr>
          <w:rFonts w:asciiTheme="majorBidi" w:hAnsiTheme="majorBidi" w:cstheme="majorBidi"/>
          <w:noProof/>
          <w:color w:val="000000" w:themeColor="text1"/>
          <w:lang w:eastAsia="fr-FR"/>
        </w:rPr>
        <w:lastRenderedPageBreak/>
        <w:pict>
          <v:shape id="_x0000_s1028" type="#_x0000_t202" style="position:absolute;left:0;text-align:left;margin-left:59pt;margin-top:186.4pt;width:334.05pt;height:62.55pt;z-index:251662336;mso-width-relative:margin;mso-height-relative:margin" stroked="f">
            <v:textbox style="mso-next-textbox:#_x0000_s1028">
              <w:txbxContent>
                <w:p w:rsidR="00534C26" w:rsidRPr="00001CD8" w:rsidRDefault="00E76830" w:rsidP="00534C26">
                  <w:pPr>
                    <w:autoSpaceDE w:val="0"/>
                    <w:autoSpaceDN w:val="0"/>
                    <w:adjustRightInd w:val="0"/>
                    <w:spacing w:after="0" w:line="360" w:lineRule="auto"/>
                    <w:jc w:val="both"/>
                    <w:rPr>
                      <w:rFonts w:asciiTheme="majorBidi" w:hAnsiTheme="majorBidi" w:cstheme="majorBidi"/>
                      <w:color w:val="000000" w:themeColor="text1"/>
                    </w:rPr>
                  </w:pPr>
                  <w:r>
                    <w:rPr>
                      <w:rFonts w:asciiTheme="majorBidi" w:hAnsiTheme="majorBidi" w:cstheme="majorBidi"/>
                      <w:b/>
                      <w:bCs/>
                      <w:color w:val="000000" w:themeColor="text1"/>
                    </w:rPr>
                    <w:t xml:space="preserve">Figure 3 </w:t>
                  </w:r>
                  <w:r w:rsidR="00534C26" w:rsidRPr="0062695D">
                    <w:rPr>
                      <w:rStyle w:val="CitationHTML"/>
                      <w:rFonts w:asciiTheme="majorBidi" w:hAnsiTheme="majorBidi" w:cstheme="majorBidi"/>
                      <w:i w:val="0"/>
                      <w:iCs w:val="0"/>
                      <w:color w:val="000000" w:themeColor="text1"/>
                    </w:rPr>
                    <w:t>Principaux symptômes de pathologies fongiques des plantes</w:t>
                  </w:r>
                </w:p>
                <w:p w:rsidR="00534C26" w:rsidRPr="0062695D" w:rsidRDefault="00534C26" w:rsidP="00534C26">
                  <w:pPr>
                    <w:autoSpaceDE w:val="0"/>
                    <w:autoSpaceDN w:val="0"/>
                    <w:adjustRightInd w:val="0"/>
                    <w:spacing w:after="0" w:line="360" w:lineRule="auto"/>
                    <w:jc w:val="both"/>
                    <w:rPr>
                      <w:rFonts w:asciiTheme="majorBidi" w:hAnsiTheme="majorBidi" w:cstheme="majorBidi"/>
                      <w:i/>
                      <w:iCs/>
                      <w:color w:val="000000" w:themeColor="text1"/>
                    </w:rPr>
                  </w:pPr>
                  <w:r>
                    <w:rPr>
                      <w:rFonts w:asciiTheme="majorBidi" w:hAnsiTheme="majorBidi" w:cstheme="majorBidi"/>
                      <w:color w:val="000000" w:themeColor="text1"/>
                    </w:rPr>
                    <w:t>(</w:t>
                  </w:r>
                  <w:proofErr w:type="gramStart"/>
                  <w:r>
                    <w:rPr>
                      <w:rFonts w:asciiTheme="majorBidi" w:hAnsiTheme="majorBidi" w:cstheme="majorBidi"/>
                      <w:color w:val="000000" w:themeColor="text1"/>
                    </w:rPr>
                    <w:t>a</w:t>
                  </w:r>
                  <w:proofErr w:type="gramEnd"/>
                  <w:r>
                    <w:rPr>
                      <w:rFonts w:asciiTheme="majorBidi" w:hAnsiTheme="majorBidi" w:cstheme="majorBidi"/>
                      <w:color w:val="000000" w:themeColor="text1"/>
                    </w:rPr>
                    <w:t>)</w:t>
                  </w:r>
                  <w:r w:rsidRPr="00001CD8">
                    <w:rPr>
                      <w:rFonts w:asciiTheme="majorBidi" w:hAnsiTheme="majorBidi" w:cstheme="majorBidi"/>
                      <w:color w:val="000000" w:themeColor="text1"/>
                    </w:rPr>
                    <w:t xml:space="preserve">: Dépérissement de l’aubergine </w:t>
                  </w:r>
                  <w:proofErr w:type="spellStart"/>
                  <w:r w:rsidRPr="00001CD8">
                    <w:rPr>
                      <w:rFonts w:asciiTheme="majorBidi" w:hAnsiTheme="majorBidi" w:cstheme="majorBidi"/>
                      <w:color w:val="000000" w:themeColor="text1"/>
                    </w:rPr>
                    <w:t>Ndrouia</w:t>
                  </w:r>
                  <w:proofErr w:type="spellEnd"/>
                  <w:r>
                    <w:rPr>
                      <w:rFonts w:asciiTheme="majorBidi" w:hAnsiTheme="majorBidi" w:cstheme="majorBidi"/>
                      <w:color w:val="000000" w:themeColor="text1"/>
                    </w:rPr>
                    <w:t xml:space="preserve"> (fusariose); (b)</w:t>
                  </w:r>
                  <w:r w:rsidRPr="00001CD8">
                    <w:rPr>
                      <w:rFonts w:asciiTheme="majorBidi" w:hAnsiTheme="majorBidi" w:cstheme="majorBidi"/>
                      <w:color w:val="000000" w:themeColor="text1"/>
                    </w:rPr>
                    <w:t>: Flétrissement de l'aubergine (</w:t>
                  </w:r>
                  <w:proofErr w:type="spellStart"/>
                  <w:r w:rsidRPr="00001CD8">
                    <w:rPr>
                      <w:rFonts w:asciiTheme="majorBidi" w:hAnsiTheme="majorBidi" w:cstheme="majorBidi"/>
                      <w:i/>
                      <w:iCs/>
                      <w:color w:val="000000" w:themeColor="text1"/>
                    </w:rPr>
                    <w:t>Sclerotiurn</w:t>
                  </w:r>
                  <w:proofErr w:type="spellEnd"/>
                  <w:r w:rsidRPr="00001CD8">
                    <w:rPr>
                      <w:rFonts w:asciiTheme="majorBidi" w:hAnsiTheme="majorBidi" w:cstheme="majorBidi"/>
                      <w:i/>
                      <w:iCs/>
                      <w:color w:val="000000" w:themeColor="text1"/>
                    </w:rPr>
                    <w:t xml:space="preserve"> </w:t>
                  </w:r>
                  <w:proofErr w:type="spellStart"/>
                  <w:r w:rsidRPr="00001CD8">
                    <w:rPr>
                      <w:rFonts w:asciiTheme="majorBidi" w:hAnsiTheme="majorBidi" w:cstheme="majorBidi"/>
                      <w:i/>
                      <w:iCs/>
                      <w:color w:val="000000" w:themeColor="text1"/>
                    </w:rPr>
                    <w:t>rolfsii</w:t>
                  </w:r>
                  <w:proofErr w:type="spellEnd"/>
                  <w:r w:rsidRPr="00001CD8">
                    <w:rPr>
                      <w:rFonts w:asciiTheme="majorBidi" w:hAnsiTheme="majorBidi" w:cstheme="majorBidi"/>
                      <w:color w:val="000000" w:themeColor="text1"/>
                    </w:rPr>
                    <w:t>).</w:t>
                  </w:r>
                  <w:r w:rsidRPr="00001CD8">
                    <w:rPr>
                      <w:rStyle w:val="CitationHTML"/>
                      <w:rFonts w:asciiTheme="majorBidi" w:hAnsiTheme="majorBidi" w:cstheme="majorBidi"/>
                      <w:color w:val="000000" w:themeColor="text1"/>
                    </w:rPr>
                    <w:t xml:space="preserve"> </w:t>
                  </w:r>
                  <w:r>
                    <w:rPr>
                      <w:rStyle w:val="CitationHTML"/>
                      <w:rFonts w:asciiTheme="majorBidi" w:hAnsiTheme="majorBidi" w:cstheme="majorBidi"/>
                      <w:i w:val="0"/>
                      <w:iCs w:val="0"/>
                      <w:color w:val="000000" w:themeColor="text1"/>
                    </w:rPr>
                    <w:t>Source</w:t>
                  </w:r>
                  <w:r w:rsidRPr="0062695D">
                    <w:rPr>
                      <w:rStyle w:val="CitationHTML"/>
                      <w:rFonts w:asciiTheme="majorBidi" w:hAnsiTheme="majorBidi" w:cstheme="majorBidi"/>
                      <w:i w:val="0"/>
                      <w:iCs w:val="0"/>
                      <w:color w:val="000000" w:themeColor="text1"/>
                    </w:rPr>
                    <w:t xml:space="preserve">: </w:t>
                  </w:r>
                  <w:proofErr w:type="spellStart"/>
                  <w:r w:rsidRPr="0062695D">
                    <w:rPr>
                      <w:rStyle w:val="CitationHTML"/>
                      <w:rFonts w:asciiTheme="majorBidi" w:hAnsiTheme="majorBidi" w:cstheme="majorBidi"/>
                      <w:i w:val="0"/>
                      <w:iCs w:val="0"/>
                      <w:color w:val="000000" w:themeColor="text1"/>
                    </w:rPr>
                    <w:t>Declert</w:t>
                  </w:r>
                  <w:proofErr w:type="spellEnd"/>
                  <w:r w:rsidRPr="0062695D">
                    <w:rPr>
                      <w:rStyle w:val="CitationHTML"/>
                      <w:rFonts w:asciiTheme="majorBidi" w:hAnsiTheme="majorBidi" w:cstheme="majorBidi"/>
                      <w:i w:val="0"/>
                      <w:iCs w:val="0"/>
                      <w:color w:val="000000" w:themeColor="text1"/>
                    </w:rPr>
                    <w:t xml:space="preserve">, </w:t>
                  </w:r>
                  <w:r w:rsidRPr="0062695D">
                    <w:rPr>
                      <w:rFonts w:asciiTheme="majorBidi" w:hAnsiTheme="majorBidi" w:cstheme="majorBidi"/>
                      <w:color w:val="2C2C2C"/>
                    </w:rPr>
                    <w:t>1990</w:t>
                  </w:r>
                  <w:r>
                    <w:rPr>
                      <w:rFonts w:asciiTheme="majorBidi" w:hAnsiTheme="majorBidi" w:cstheme="majorBidi"/>
                      <w:color w:val="2C2C2C"/>
                    </w:rPr>
                    <w:t>.</w:t>
                  </w:r>
                </w:p>
              </w:txbxContent>
            </v:textbox>
          </v:shape>
        </w:pict>
      </w:r>
      <w:r w:rsidR="00534C26" w:rsidRPr="00E30870">
        <w:rPr>
          <w:rFonts w:asciiTheme="majorBidi" w:hAnsiTheme="majorBidi" w:cstheme="majorBidi"/>
          <w:noProof/>
          <w:color w:val="000000" w:themeColor="text1"/>
          <w:lang w:eastAsia="fr-FR"/>
        </w:rPr>
        <w:drawing>
          <wp:inline distT="0" distB="0" distL="0" distR="0">
            <wp:extent cx="4251614" cy="2379518"/>
            <wp:effectExtent l="19050" t="0" r="0" b="0"/>
            <wp:docPr id="11"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488" cy="2901922"/>
                      <a:chOff x="755576" y="476672"/>
                      <a:chExt cx="4392488" cy="2901922"/>
                    </a:xfrm>
                  </a:grpSpPr>
                  <a:grpSp>
                    <a:nvGrpSpPr>
                      <a:cNvPr id="10" name="Groupe 9"/>
                      <a:cNvGrpSpPr/>
                    </a:nvGrpSpPr>
                    <a:grpSpPr>
                      <a:xfrm>
                        <a:off x="755576" y="476672"/>
                        <a:ext cx="4392488" cy="2901922"/>
                        <a:chOff x="755576" y="476672"/>
                        <a:chExt cx="4392488" cy="2901922"/>
                      </a:xfrm>
                    </a:grpSpPr>
                    <a:pic>
                      <a:nvPicPr>
                        <a:cNvPr id="1026" name="Picture 2"/>
                        <a:cNvPicPr>
                          <a:picLocks noChangeAspect="1" noChangeArrowheads="1"/>
                        </a:cNvPicPr>
                      </a:nvPicPr>
                      <a:blipFill>
                        <a:blip r:embed="rId23" cstate="print"/>
                        <a:srcRect/>
                        <a:stretch>
                          <a:fillRect/>
                        </a:stretch>
                      </a:blipFill>
                      <a:spPr bwMode="auto">
                        <a:xfrm>
                          <a:off x="755576" y="476672"/>
                          <a:ext cx="2232248" cy="2901922"/>
                        </a:xfrm>
                        <a:prstGeom prst="rect">
                          <a:avLst/>
                        </a:prstGeom>
                        <a:noFill/>
                        <a:ln w="9525">
                          <a:noFill/>
                          <a:miter lim="800000"/>
                          <a:headEnd/>
                          <a:tailEnd/>
                        </a:ln>
                      </a:spPr>
                    </a:pic>
                    <a:sp>
                      <a:nvSpPr>
                        <a:cNvPr id="7" name="ZoneTexte 6"/>
                        <a:cNvSpPr txBox="1"/>
                      </a:nvSpPr>
                      <a:spPr>
                        <a:xfrm>
                          <a:off x="827584" y="548681"/>
                          <a:ext cx="648072"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solidFill>
                                  <a:schemeClr val="bg1"/>
                                </a:solidFill>
                              </a:rPr>
                              <a:t>(a)</a:t>
                            </a:r>
                            <a:endParaRPr lang="fr-FR" sz="2000" b="1" dirty="0">
                              <a:solidFill>
                                <a:schemeClr val="bg1"/>
                              </a:solidFill>
                            </a:endParaRPr>
                          </a:p>
                        </a:txBody>
                        <a:useSpRect/>
                      </a:txSp>
                    </a:sp>
                    <a:pic>
                      <a:nvPicPr>
                        <a:cNvPr id="1027" name="Picture 3"/>
                        <a:cNvPicPr>
                          <a:picLocks noChangeAspect="1" noChangeArrowheads="1"/>
                        </a:cNvPicPr>
                      </a:nvPicPr>
                      <a:blipFill>
                        <a:blip r:embed="rId24" cstate="print"/>
                        <a:srcRect/>
                        <a:stretch>
                          <a:fillRect/>
                        </a:stretch>
                      </a:blipFill>
                      <a:spPr bwMode="auto">
                        <a:xfrm>
                          <a:off x="2915816" y="476672"/>
                          <a:ext cx="2232248" cy="2897263"/>
                        </a:xfrm>
                        <a:prstGeom prst="rect">
                          <a:avLst/>
                        </a:prstGeom>
                        <a:noFill/>
                        <a:ln w="9525">
                          <a:noFill/>
                          <a:miter lim="800000"/>
                          <a:headEnd/>
                          <a:tailEnd/>
                        </a:ln>
                      </a:spPr>
                    </a:pic>
                    <a:sp>
                      <a:nvSpPr>
                        <a:cNvPr id="9" name="ZoneTexte 8"/>
                        <a:cNvSpPr txBox="1"/>
                      </a:nvSpPr>
                      <a:spPr>
                        <a:xfrm>
                          <a:off x="2915816" y="548680"/>
                          <a:ext cx="648072"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solidFill>
                                  <a:schemeClr val="bg1"/>
                                </a:solidFill>
                              </a:rPr>
                              <a:t>(b)</a:t>
                            </a:r>
                            <a:endParaRPr lang="fr-FR" sz="2000" b="1" dirty="0">
                              <a:solidFill>
                                <a:schemeClr val="bg1"/>
                              </a:solidFill>
                            </a:endParaRPr>
                          </a:p>
                        </a:txBody>
                        <a:useSpRect/>
                      </a:txSp>
                    </a:sp>
                  </a:grpSp>
                </lc:lockedCanvas>
              </a:graphicData>
            </a:graphic>
          </wp:inline>
        </w:drawing>
      </w:r>
    </w:p>
    <w:p w:rsidR="00534C26" w:rsidRPr="00E30870" w:rsidRDefault="00534C26" w:rsidP="00534C26">
      <w:pPr>
        <w:autoSpaceDE w:val="0"/>
        <w:autoSpaceDN w:val="0"/>
        <w:adjustRightInd w:val="0"/>
        <w:spacing w:after="0" w:line="360" w:lineRule="auto"/>
        <w:jc w:val="both"/>
        <w:rPr>
          <w:rFonts w:asciiTheme="majorBidi" w:hAnsiTheme="majorBidi" w:cstheme="majorBidi"/>
          <w:i/>
          <w:color w:val="000000" w:themeColor="text1"/>
        </w:rPr>
      </w:pPr>
    </w:p>
    <w:p w:rsidR="00534C26" w:rsidRPr="00E30870" w:rsidRDefault="00534C26" w:rsidP="00534C26">
      <w:pPr>
        <w:autoSpaceDE w:val="0"/>
        <w:autoSpaceDN w:val="0"/>
        <w:adjustRightInd w:val="0"/>
        <w:spacing w:after="0" w:line="360" w:lineRule="auto"/>
        <w:jc w:val="both"/>
        <w:rPr>
          <w:rFonts w:asciiTheme="majorBidi" w:hAnsiTheme="majorBidi" w:cstheme="majorBidi"/>
          <w:i/>
          <w:color w:val="000000" w:themeColor="text1"/>
        </w:rPr>
      </w:pPr>
    </w:p>
    <w:p w:rsidR="00E96A1A" w:rsidRPr="00E30870" w:rsidRDefault="00E96A1A" w:rsidP="00E96A1A">
      <w:pPr>
        <w:autoSpaceDE w:val="0"/>
        <w:autoSpaceDN w:val="0"/>
        <w:adjustRightInd w:val="0"/>
        <w:spacing w:after="0" w:line="360" w:lineRule="auto"/>
        <w:jc w:val="both"/>
        <w:rPr>
          <w:rFonts w:asciiTheme="majorBidi" w:hAnsiTheme="majorBidi" w:cstheme="majorBidi"/>
          <w:i/>
          <w:color w:val="000000" w:themeColor="text1"/>
          <w:sz w:val="24"/>
          <w:szCs w:val="24"/>
        </w:rPr>
      </w:pPr>
    </w:p>
    <w:p w:rsidR="00534C26" w:rsidRPr="00E30870" w:rsidRDefault="00E96A1A" w:rsidP="00E96A1A">
      <w:pPr>
        <w:autoSpaceDE w:val="0"/>
        <w:autoSpaceDN w:val="0"/>
        <w:adjustRightInd w:val="0"/>
        <w:spacing w:after="0" w:line="360" w:lineRule="auto"/>
        <w:jc w:val="both"/>
        <w:rPr>
          <w:rFonts w:asciiTheme="majorBidi" w:hAnsiTheme="majorBidi" w:cstheme="majorBidi"/>
          <w:i/>
          <w:color w:val="000000" w:themeColor="text1"/>
          <w:sz w:val="24"/>
          <w:szCs w:val="24"/>
        </w:rPr>
      </w:pPr>
      <w:r w:rsidRPr="00E30870">
        <w:rPr>
          <w:rFonts w:asciiTheme="majorBidi" w:hAnsiTheme="majorBidi" w:cstheme="majorBidi"/>
          <w:i/>
          <w:iCs/>
          <w:color w:val="000000" w:themeColor="text1"/>
          <w:sz w:val="24"/>
          <w:szCs w:val="24"/>
        </w:rPr>
        <w:t>2.5.3.3-</w:t>
      </w:r>
      <w:r w:rsidRPr="00E30870">
        <w:rPr>
          <w:rFonts w:asciiTheme="majorBidi" w:hAnsiTheme="majorBidi" w:cstheme="majorBidi"/>
          <w:color w:val="000000" w:themeColor="text1"/>
          <w:sz w:val="24"/>
          <w:szCs w:val="24"/>
        </w:rPr>
        <w:t xml:space="preserve"> </w:t>
      </w:r>
      <w:r w:rsidR="00534C26" w:rsidRPr="00E30870">
        <w:rPr>
          <w:rFonts w:asciiTheme="majorBidi" w:hAnsiTheme="majorBidi" w:cstheme="majorBidi"/>
          <w:i/>
          <w:color w:val="000000" w:themeColor="text1"/>
          <w:sz w:val="24"/>
          <w:szCs w:val="24"/>
        </w:rPr>
        <w:t>Nécrose, macération et pourriture</w:t>
      </w:r>
    </w:p>
    <w:p w:rsidR="00534C26" w:rsidRPr="00E30870" w:rsidRDefault="00534C26" w:rsidP="007443DF">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Ces trois termes sont souvent mal définis dans la littérature et par conséquent, utilisés confusément. La nécrose est l'état dégradé irréversible d'une cellule après une agression physico-chimique ou biologique (</w:t>
      </w:r>
      <w:r w:rsidR="007443DF" w:rsidRPr="00E30870">
        <w:rPr>
          <w:rFonts w:asciiTheme="majorBidi" w:hAnsiTheme="majorBidi" w:cstheme="majorBidi"/>
          <w:color w:val="000000" w:themeColor="text1"/>
          <w:sz w:val="24"/>
          <w:szCs w:val="24"/>
        </w:rPr>
        <w:t>f</w:t>
      </w:r>
      <w:r w:rsidRPr="00E30870">
        <w:rPr>
          <w:rFonts w:asciiTheme="majorBidi" w:hAnsiTheme="majorBidi" w:cstheme="majorBidi"/>
          <w:color w:val="000000" w:themeColor="text1"/>
          <w:sz w:val="24"/>
          <w:szCs w:val="24"/>
        </w:rPr>
        <w:t>igure4-a). La macération est le résultat de dégradation des lamelles moyennes par action enzymatique des agents pathogènes, le plus souvent celle de la pectine-</w:t>
      </w:r>
      <w:proofErr w:type="spellStart"/>
      <w:r w:rsidRPr="00E30870">
        <w:rPr>
          <w:rFonts w:asciiTheme="majorBidi" w:hAnsiTheme="majorBidi" w:cstheme="majorBidi"/>
          <w:color w:val="000000" w:themeColor="text1"/>
          <w:sz w:val="24"/>
          <w:szCs w:val="24"/>
        </w:rPr>
        <w:t>méthylestérase</w:t>
      </w:r>
      <w:proofErr w:type="spellEnd"/>
      <w:r w:rsidRPr="00E30870">
        <w:rPr>
          <w:rFonts w:asciiTheme="majorBidi" w:hAnsiTheme="majorBidi" w:cstheme="majorBidi"/>
          <w:color w:val="000000" w:themeColor="text1"/>
          <w:sz w:val="24"/>
          <w:szCs w:val="24"/>
        </w:rPr>
        <w:t xml:space="preserve">. Les tissus macérés prennent une texture de pâte molle, le plus souvent, l'épiderme ou l'épicarpe recouvrant le tissu altéré, sont </w:t>
      </w:r>
      <w:r w:rsidR="007443DF" w:rsidRPr="00E30870">
        <w:rPr>
          <w:rFonts w:asciiTheme="majorBidi" w:hAnsiTheme="majorBidi" w:cstheme="majorBidi"/>
          <w:color w:val="000000" w:themeColor="text1"/>
          <w:sz w:val="24"/>
          <w:szCs w:val="24"/>
        </w:rPr>
        <w:t xml:space="preserve">décolorés en teinte sombre </w:t>
      </w:r>
      <w:r w:rsidRPr="00E30870">
        <w:rPr>
          <w:rFonts w:asciiTheme="majorBidi" w:hAnsiTheme="majorBidi" w:cstheme="majorBidi"/>
          <w:color w:val="000000" w:themeColor="text1"/>
          <w:sz w:val="24"/>
          <w:szCs w:val="24"/>
        </w:rPr>
        <w:t>grise brune ou noire. Les tiges et les fruits macérés sont déprimés et les feuilles trouées (</w:t>
      </w:r>
      <w:r w:rsidR="007443DF" w:rsidRPr="00E30870">
        <w:rPr>
          <w:rFonts w:asciiTheme="majorBidi" w:hAnsiTheme="majorBidi" w:cstheme="majorBidi"/>
          <w:color w:val="000000" w:themeColor="text1"/>
          <w:sz w:val="24"/>
          <w:szCs w:val="24"/>
        </w:rPr>
        <w:t>f</w:t>
      </w:r>
      <w:r w:rsidRPr="00E30870">
        <w:rPr>
          <w:rFonts w:asciiTheme="majorBidi" w:hAnsiTheme="majorBidi" w:cstheme="majorBidi"/>
          <w:color w:val="000000" w:themeColor="text1"/>
          <w:sz w:val="24"/>
          <w:szCs w:val="24"/>
        </w:rPr>
        <w:t>igure4-b). Enfin, la pourriture est l'état d'un organe après macération de ses tissus, elle intervient sur des organes variés tels que feuilles, rameaux et tiges, collets, racines et fruits (figure4-c) (</w:t>
      </w:r>
      <w:proofErr w:type="spellStart"/>
      <w:r w:rsidRPr="00E30870">
        <w:rPr>
          <w:rFonts w:asciiTheme="majorBidi" w:hAnsiTheme="majorBidi" w:cstheme="majorBidi"/>
          <w:color w:val="000000" w:themeColor="text1"/>
          <w:sz w:val="24"/>
          <w:szCs w:val="24"/>
        </w:rPr>
        <w:t>Declert</w:t>
      </w:r>
      <w:proofErr w:type="spellEnd"/>
      <w:r w:rsidRPr="00E30870">
        <w:rPr>
          <w:rFonts w:asciiTheme="majorBidi" w:hAnsiTheme="majorBidi" w:cstheme="majorBidi"/>
          <w:color w:val="000000" w:themeColor="text1"/>
          <w:sz w:val="24"/>
          <w:szCs w:val="24"/>
        </w:rPr>
        <w:t>, 1990).</w:t>
      </w: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rPr>
      </w:pPr>
    </w:p>
    <w:p w:rsidR="00534C26" w:rsidRPr="00E30870" w:rsidRDefault="00F83B7D" w:rsidP="00534C26">
      <w:pPr>
        <w:autoSpaceDE w:val="0"/>
        <w:autoSpaceDN w:val="0"/>
        <w:adjustRightInd w:val="0"/>
        <w:spacing w:after="0" w:line="360" w:lineRule="auto"/>
        <w:jc w:val="center"/>
        <w:rPr>
          <w:rFonts w:asciiTheme="majorBidi" w:hAnsiTheme="majorBidi" w:cstheme="majorBidi"/>
          <w:color w:val="000000" w:themeColor="text1"/>
        </w:rPr>
      </w:pPr>
      <w:r>
        <w:rPr>
          <w:rFonts w:asciiTheme="majorBidi" w:hAnsiTheme="majorBidi" w:cstheme="majorBidi"/>
          <w:noProof/>
          <w:color w:val="000000" w:themeColor="text1"/>
          <w:lang w:eastAsia="fr-FR"/>
        </w:rPr>
        <w:pict>
          <v:shape id="_x0000_s1029" type="#_x0000_t202" style="position:absolute;left:0;text-align:left;margin-left:39.9pt;margin-top:101.9pt;width:364.35pt;height:76pt;z-index:251663360;mso-width-relative:margin;mso-height-relative:margin" stroked="f">
            <v:textbox style="mso-next-textbox:#_x0000_s1029">
              <w:txbxContent>
                <w:p w:rsidR="00534C26" w:rsidRPr="00A07974" w:rsidRDefault="00534C26" w:rsidP="00534C26">
                  <w:pPr>
                    <w:autoSpaceDE w:val="0"/>
                    <w:autoSpaceDN w:val="0"/>
                    <w:adjustRightInd w:val="0"/>
                    <w:spacing w:after="0" w:line="360" w:lineRule="auto"/>
                    <w:jc w:val="both"/>
                    <w:rPr>
                      <w:rStyle w:val="CitationHTML"/>
                      <w:rFonts w:asciiTheme="majorBidi" w:hAnsiTheme="majorBidi" w:cstheme="majorBidi"/>
                      <w:i w:val="0"/>
                      <w:iCs w:val="0"/>
                      <w:color w:val="000000" w:themeColor="text1"/>
                    </w:rPr>
                  </w:pPr>
                  <w:r w:rsidRPr="00E043DB">
                    <w:rPr>
                      <w:rFonts w:asciiTheme="majorBidi" w:hAnsiTheme="majorBidi" w:cstheme="majorBidi"/>
                      <w:b/>
                      <w:bCs/>
                      <w:color w:val="000000" w:themeColor="text1"/>
                    </w:rPr>
                    <w:t xml:space="preserve">Figure </w:t>
                  </w:r>
                  <w:r>
                    <w:rPr>
                      <w:rFonts w:asciiTheme="majorBidi" w:hAnsiTheme="majorBidi" w:cstheme="majorBidi"/>
                      <w:b/>
                      <w:bCs/>
                      <w:color w:val="000000" w:themeColor="text1"/>
                    </w:rPr>
                    <w:t xml:space="preserve">4 </w:t>
                  </w:r>
                  <w:r w:rsidRPr="00A07974">
                    <w:rPr>
                      <w:rFonts w:asciiTheme="majorBidi" w:hAnsiTheme="majorBidi" w:cstheme="majorBidi"/>
                      <w:color w:val="000000" w:themeColor="text1"/>
                    </w:rPr>
                    <w:t>Principaux symptômes de pathologies fongiques</w:t>
                  </w:r>
                  <w:r>
                    <w:rPr>
                      <w:rFonts w:asciiTheme="majorBidi" w:hAnsiTheme="majorBidi" w:cstheme="majorBidi"/>
                      <w:color w:val="000000" w:themeColor="text1"/>
                    </w:rPr>
                    <w:t xml:space="preserve"> (a)</w:t>
                  </w:r>
                  <w:r w:rsidRPr="00A07974">
                    <w:rPr>
                      <w:rFonts w:asciiTheme="majorBidi" w:hAnsiTheme="majorBidi" w:cstheme="majorBidi"/>
                      <w:color w:val="000000" w:themeColor="text1"/>
                    </w:rPr>
                    <w:t xml:space="preserve"> Nécrose totale de la feui</w:t>
                  </w:r>
                  <w:r>
                    <w:rPr>
                      <w:rFonts w:asciiTheme="majorBidi" w:hAnsiTheme="majorBidi" w:cstheme="majorBidi"/>
                      <w:color w:val="000000" w:themeColor="text1"/>
                    </w:rPr>
                    <w:t>lle de melon (mildiou du melon)</w:t>
                  </w:r>
                  <w:r w:rsidRPr="00A07974">
                    <w:rPr>
                      <w:rFonts w:asciiTheme="majorBidi" w:hAnsiTheme="majorBidi" w:cstheme="majorBidi"/>
                      <w:color w:val="000000" w:themeColor="text1"/>
                    </w:rPr>
                    <w:t>; (b) Macération des feuilles de courge (</w:t>
                  </w:r>
                  <w:proofErr w:type="spellStart"/>
                  <w:r w:rsidRPr="00BD595D">
                    <w:rPr>
                      <w:rFonts w:asciiTheme="majorBidi" w:hAnsiTheme="majorBidi" w:cstheme="majorBidi"/>
                      <w:i/>
                      <w:iCs/>
                      <w:color w:val="000000" w:themeColor="text1"/>
                    </w:rPr>
                    <w:t>Rhizoctonia</w:t>
                  </w:r>
                  <w:proofErr w:type="spellEnd"/>
                  <w:r w:rsidRPr="00BD595D">
                    <w:rPr>
                      <w:rFonts w:asciiTheme="majorBidi" w:hAnsiTheme="majorBidi" w:cstheme="majorBidi"/>
                      <w:i/>
                      <w:iCs/>
                      <w:color w:val="000000" w:themeColor="text1"/>
                    </w:rPr>
                    <w:t xml:space="preserve"> </w:t>
                  </w:r>
                  <w:proofErr w:type="spellStart"/>
                  <w:r w:rsidRPr="00BD595D">
                    <w:rPr>
                      <w:rFonts w:asciiTheme="majorBidi" w:hAnsiTheme="majorBidi" w:cstheme="majorBidi"/>
                      <w:i/>
                      <w:iCs/>
                      <w:color w:val="000000" w:themeColor="text1"/>
                    </w:rPr>
                    <w:t>solani</w:t>
                  </w:r>
                  <w:proofErr w:type="spellEnd"/>
                  <w:r>
                    <w:rPr>
                      <w:rFonts w:asciiTheme="majorBidi" w:hAnsiTheme="majorBidi" w:cstheme="majorBidi"/>
                      <w:color w:val="000000" w:themeColor="text1"/>
                    </w:rPr>
                    <w:t>); (c)</w:t>
                  </w:r>
                  <w:r w:rsidRPr="00A07974">
                    <w:rPr>
                      <w:rFonts w:asciiTheme="majorBidi" w:hAnsiTheme="majorBidi" w:cstheme="majorBidi"/>
                      <w:color w:val="000000" w:themeColor="text1"/>
                    </w:rPr>
                    <w:t xml:space="preserve"> Pourriture des racines de l'aubergine (</w:t>
                  </w:r>
                  <w:proofErr w:type="spellStart"/>
                  <w:r w:rsidRPr="00A07974">
                    <w:rPr>
                      <w:rFonts w:asciiTheme="majorBidi" w:hAnsiTheme="majorBidi" w:cstheme="majorBidi"/>
                      <w:i/>
                      <w:iCs/>
                      <w:color w:val="000000" w:themeColor="text1"/>
                    </w:rPr>
                    <w:t>Pythium</w:t>
                  </w:r>
                  <w:proofErr w:type="spellEnd"/>
                  <w:r w:rsidRPr="00A07974">
                    <w:rPr>
                      <w:rFonts w:asciiTheme="majorBidi" w:hAnsiTheme="majorBidi" w:cstheme="majorBidi"/>
                      <w:i/>
                      <w:iCs/>
                      <w:color w:val="000000" w:themeColor="text1"/>
                    </w:rPr>
                    <w:t xml:space="preserve"> </w:t>
                  </w:r>
                  <w:proofErr w:type="spellStart"/>
                  <w:r w:rsidRPr="00A07974">
                    <w:rPr>
                      <w:rFonts w:asciiTheme="majorBidi" w:hAnsiTheme="majorBidi" w:cstheme="majorBidi"/>
                      <w:i/>
                      <w:iCs/>
                      <w:color w:val="000000" w:themeColor="text1"/>
                    </w:rPr>
                    <w:t>aphanidermatum</w:t>
                  </w:r>
                  <w:proofErr w:type="spellEnd"/>
                  <w:r w:rsidRPr="00526F69">
                    <w:rPr>
                      <w:rFonts w:asciiTheme="majorBidi" w:hAnsiTheme="majorBidi" w:cstheme="majorBidi"/>
                      <w:i/>
                      <w:iCs/>
                      <w:color w:val="000000" w:themeColor="text1"/>
                    </w:rPr>
                    <w:t xml:space="preserve">). </w:t>
                  </w:r>
                  <w:r w:rsidRPr="00526F69">
                    <w:rPr>
                      <w:rStyle w:val="CitationHTML"/>
                      <w:rFonts w:asciiTheme="majorBidi" w:hAnsiTheme="majorBidi" w:cstheme="majorBidi"/>
                      <w:i w:val="0"/>
                      <w:iCs w:val="0"/>
                      <w:color w:val="000000" w:themeColor="text1"/>
                    </w:rPr>
                    <w:t xml:space="preserve">Source: </w:t>
                  </w:r>
                  <w:proofErr w:type="spellStart"/>
                  <w:r w:rsidRPr="00526F69">
                    <w:rPr>
                      <w:rStyle w:val="CitationHTML"/>
                      <w:rFonts w:asciiTheme="majorBidi" w:hAnsiTheme="majorBidi" w:cstheme="majorBidi"/>
                      <w:i w:val="0"/>
                      <w:iCs w:val="0"/>
                      <w:color w:val="000000" w:themeColor="text1"/>
                    </w:rPr>
                    <w:t>Declert</w:t>
                  </w:r>
                  <w:proofErr w:type="spellEnd"/>
                  <w:r w:rsidRPr="00526F69">
                    <w:rPr>
                      <w:rStyle w:val="CitationHTML"/>
                      <w:rFonts w:asciiTheme="majorBidi" w:hAnsiTheme="majorBidi" w:cstheme="majorBidi"/>
                      <w:i w:val="0"/>
                      <w:iCs w:val="0"/>
                      <w:color w:val="000000" w:themeColor="text1"/>
                    </w:rPr>
                    <w:t xml:space="preserve">, </w:t>
                  </w:r>
                  <w:r w:rsidRPr="00526F69">
                    <w:rPr>
                      <w:rFonts w:asciiTheme="majorBidi" w:hAnsiTheme="majorBidi" w:cstheme="majorBidi"/>
                      <w:i/>
                      <w:iCs/>
                      <w:color w:val="2C2C2C"/>
                    </w:rPr>
                    <w:t>1990</w:t>
                  </w:r>
                </w:p>
                <w:p w:rsidR="00534C26" w:rsidRPr="00ED6877" w:rsidRDefault="00534C26" w:rsidP="00534C26"/>
                <w:p w:rsidR="00534C26" w:rsidRDefault="00534C26" w:rsidP="00534C26"/>
              </w:txbxContent>
            </v:textbox>
          </v:shape>
        </w:pict>
      </w:r>
      <w:r w:rsidR="00534C26" w:rsidRPr="00E30870">
        <w:rPr>
          <w:rFonts w:asciiTheme="majorBidi" w:hAnsiTheme="majorBidi" w:cstheme="majorBidi"/>
          <w:noProof/>
          <w:color w:val="000000" w:themeColor="text1"/>
          <w:lang w:eastAsia="fr-FR"/>
        </w:rPr>
        <w:drawing>
          <wp:inline distT="0" distB="0" distL="0" distR="0">
            <wp:extent cx="4627091" cy="1285102"/>
            <wp:effectExtent l="19050" t="0" r="2059" b="0"/>
            <wp:docPr id="12"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59923" cy="2807856"/>
                      <a:chOff x="-1116632" y="1628800"/>
                      <a:chExt cx="8959923" cy="2807856"/>
                    </a:xfrm>
                  </a:grpSpPr>
                  <a:grpSp>
                    <a:nvGrpSpPr>
                      <a:cNvPr id="12" name="Groupe 11"/>
                      <a:cNvGrpSpPr/>
                    </a:nvGrpSpPr>
                    <a:grpSpPr>
                      <a:xfrm>
                        <a:off x="-1116632" y="1628800"/>
                        <a:ext cx="8959923" cy="2807856"/>
                        <a:chOff x="-1116632" y="1628800"/>
                        <a:chExt cx="8959923" cy="2807856"/>
                      </a:xfrm>
                    </a:grpSpPr>
                    <a:pic>
                      <a:nvPicPr>
                        <a:cNvPr id="2050" name="Picture 2"/>
                        <a:cNvPicPr>
                          <a:picLocks noChangeAspect="1" noChangeArrowheads="1"/>
                        </a:cNvPicPr>
                      </a:nvPicPr>
                      <a:blipFill>
                        <a:blip r:embed="rId25" cstate="print"/>
                        <a:srcRect/>
                        <a:stretch>
                          <a:fillRect/>
                        </a:stretch>
                      </a:blipFill>
                      <a:spPr bwMode="auto">
                        <a:xfrm>
                          <a:off x="-1116632" y="1700807"/>
                          <a:ext cx="3401822" cy="2714259"/>
                        </a:xfrm>
                        <a:prstGeom prst="rect">
                          <a:avLst/>
                        </a:prstGeom>
                        <a:noFill/>
                        <a:ln w="9525">
                          <a:noFill/>
                          <a:miter lim="800000"/>
                          <a:headEnd/>
                          <a:tailEnd/>
                        </a:ln>
                      </a:spPr>
                    </a:pic>
                    <a:pic>
                      <a:nvPicPr>
                        <a:cNvPr id="2051" name="Picture 3"/>
                        <a:cNvPicPr>
                          <a:picLocks noChangeAspect="1" noChangeArrowheads="1"/>
                        </a:cNvPicPr>
                      </a:nvPicPr>
                      <a:blipFill>
                        <a:blip r:embed="rId26" cstate="print"/>
                        <a:srcRect/>
                        <a:stretch>
                          <a:fillRect/>
                        </a:stretch>
                      </a:blipFill>
                      <a:spPr bwMode="auto">
                        <a:xfrm rot="5400000">
                          <a:off x="4515685" y="1109049"/>
                          <a:ext cx="2807856" cy="3847357"/>
                        </a:xfrm>
                        <a:prstGeom prst="rect">
                          <a:avLst/>
                        </a:prstGeom>
                        <a:noFill/>
                        <a:ln w="9525">
                          <a:noFill/>
                          <a:miter lim="800000"/>
                          <a:headEnd/>
                          <a:tailEnd/>
                        </a:ln>
                      </a:spPr>
                    </a:pic>
                    <a:pic>
                      <a:nvPicPr>
                        <a:cNvPr id="2052" name="Picture 4"/>
                        <a:cNvPicPr>
                          <a:picLocks noChangeAspect="1" noChangeArrowheads="1"/>
                        </a:cNvPicPr>
                      </a:nvPicPr>
                      <a:blipFill>
                        <a:blip r:embed="rId27" cstate="print"/>
                        <a:srcRect/>
                        <a:stretch>
                          <a:fillRect/>
                        </a:stretch>
                      </a:blipFill>
                      <a:spPr bwMode="auto">
                        <a:xfrm>
                          <a:off x="1547663" y="1700808"/>
                          <a:ext cx="3182235" cy="2734120"/>
                        </a:xfrm>
                        <a:prstGeom prst="rect">
                          <a:avLst/>
                        </a:prstGeom>
                        <a:noFill/>
                        <a:ln w="9525">
                          <a:noFill/>
                          <a:miter lim="800000"/>
                          <a:headEnd/>
                          <a:tailEnd/>
                        </a:ln>
                      </a:spPr>
                    </a:pic>
                    <a:sp>
                      <a:nvSpPr>
                        <a:cNvPr id="8" name="ZoneTexte 7"/>
                        <a:cNvSpPr txBox="1"/>
                      </a:nvSpPr>
                      <a:spPr>
                        <a:xfrm>
                          <a:off x="-1044624" y="1700808"/>
                          <a:ext cx="720080" cy="33855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dirty="0" smtClean="0"/>
                              <a:t>(a)</a:t>
                            </a:r>
                            <a:endParaRPr lang="fr-FR" sz="1600" b="1" dirty="0"/>
                          </a:p>
                        </a:txBody>
                        <a:useSpRect/>
                      </a:txSp>
                    </a:sp>
                    <a:sp>
                      <a:nvSpPr>
                        <a:cNvPr id="9" name="ZoneTexte 8"/>
                        <a:cNvSpPr txBox="1"/>
                      </a:nvSpPr>
                      <a:spPr>
                        <a:xfrm>
                          <a:off x="1547664" y="1700808"/>
                          <a:ext cx="936104" cy="33855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dirty="0" smtClean="0"/>
                              <a:t>(b)</a:t>
                            </a:r>
                            <a:endParaRPr lang="fr-FR" sz="2400" b="1" dirty="0"/>
                          </a:p>
                        </a:txBody>
                        <a:useSpRect/>
                      </a:txSp>
                    </a:sp>
                    <a:sp>
                      <a:nvSpPr>
                        <a:cNvPr id="10" name="ZoneTexte 9"/>
                        <a:cNvSpPr txBox="1"/>
                      </a:nvSpPr>
                      <a:spPr>
                        <a:xfrm>
                          <a:off x="4860032" y="1772816"/>
                          <a:ext cx="864096" cy="33855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dirty="0" smtClean="0"/>
                              <a:t>( c)</a:t>
                            </a:r>
                            <a:endParaRPr lang="fr-FR" sz="1600" b="1" dirty="0"/>
                          </a:p>
                        </a:txBody>
                        <a:useSpRect/>
                      </a:txSp>
                    </a:sp>
                  </a:grpSp>
                </lc:lockedCanvas>
              </a:graphicData>
            </a:graphic>
          </wp:inline>
        </w:drawing>
      </w: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rPr>
      </w:pP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rPr>
      </w:pP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rPr>
      </w:pPr>
    </w:p>
    <w:p w:rsidR="00534C26" w:rsidRPr="00E30870" w:rsidRDefault="00534C26" w:rsidP="00534C26">
      <w:pPr>
        <w:autoSpaceDE w:val="0"/>
        <w:autoSpaceDN w:val="0"/>
        <w:adjustRightInd w:val="0"/>
        <w:spacing w:after="0" w:line="360" w:lineRule="auto"/>
        <w:jc w:val="both"/>
        <w:rPr>
          <w:rFonts w:asciiTheme="majorBidi" w:hAnsiTheme="majorBidi" w:cstheme="majorBidi"/>
          <w:i/>
          <w:iCs/>
          <w:color w:val="000000" w:themeColor="text1"/>
          <w:sz w:val="24"/>
          <w:szCs w:val="24"/>
        </w:rPr>
      </w:pPr>
    </w:p>
    <w:p w:rsidR="00534C26" w:rsidRPr="00E30870" w:rsidRDefault="00513219" w:rsidP="00513219">
      <w:pPr>
        <w:autoSpaceDE w:val="0"/>
        <w:autoSpaceDN w:val="0"/>
        <w:adjustRightInd w:val="0"/>
        <w:spacing w:after="0" w:line="360" w:lineRule="auto"/>
        <w:jc w:val="both"/>
        <w:rPr>
          <w:rFonts w:asciiTheme="majorBidi" w:hAnsiTheme="majorBidi" w:cstheme="majorBidi"/>
          <w:i/>
          <w:iCs/>
          <w:color w:val="000000" w:themeColor="text1"/>
          <w:sz w:val="24"/>
          <w:szCs w:val="24"/>
        </w:rPr>
      </w:pPr>
      <w:proofErr w:type="gramStart"/>
      <w:r w:rsidRPr="00E30870">
        <w:rPr>
          <w:rFonts w:asciiTheme="majorBidi" w:hAnsiTheme="majorBidi" w:cstheme="majorBidi"/>
          <w:i/>
          <w:iCs/>
          <w:color w:val="000000" w:themeColor="text1"/>
          <w:sz w:val="24"/>
          <w:szCs w:val="24"/>
        </w:rPr>
        <w:lastRenderedPageBreak/>
        <w:t>2.5.3.4-</w:t>
      </w:r>
      <w:proofErr w:type="gramEnd"/>
      <w:r w:rsidRPr="00E30870">
        <w:rPr>
          <w:rFonts w:asciiTheme="majorBidi" w:hAnsiTheme="majorBidi" w:cstheme="majorBidi"/>
          <w:i/>
          <w:iCs/>
          <w:color w:val="000000" w:themeColor="text1"/>
          <w:sz w:val="24"/>
          <w:szCs w:val="24"/>
        </w:rPr>
        <w:t xml:space="preserve"> </w:t>
      </w:r>
      <w:r w:rsidR="00534C26" w:rsidRPr="00E30870">
        <w:rPr>
          <w:rFonts w:asciiTheme="majorBidi" w:hAnsiTheme="majorBidi" w:cstheme="majorBidi"/>
          <w:i/>
          <w:iCs/>
          <w:color w:val="000000" w:themeColor="text1"/>
          <w:sz w:val="24"/>
          <w:szCs w:val="24"/>
        </w:rPr>
        <w:t xml:space="preserve">Taches </w:t>
      </w:r>
    </w:p>
    <w:p w:rsidR="00534C26" w:rsidRPr="00E30870" w:rsidRDefault="00534C26" w:rsidP="006D0D8A">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La tache est une aire plus ou moins bien définie sur une feuille, un fruit ou une tige, où la coloration est modifiée en raison de l'altération des tissus. On parle de taches nécrosées quand les cellules attaquées par les agents pathogènes sont mortes comme les taches de mildiou. Les noms attribués aux taches varient selon leur dimension, leur coloration et leur forme (</w:t>
      </w:r>
      <w:r w:rsidR="006D0D8A" w:rsidRPr="00E30870">
        <w:rPr>
          <w:rFonts w:asciiTheme="majorBidi" w:hAnsiTheme="majorBidi" w:cstheme="majorBidi"/>
          <w:color w:val="000000" w:themeColor="text1"/>
          <w:sz w:val="24"/>
          <w:szCs w:val="24"/>
        </w:rPr>
        <w:t>f</w:t>
      </w:r>
      <w:r w:rsidRPr="00E30870">
        <w:rPr>
          <w:rFonts w:asciiTheme="majorBidi" w:hAnsiTheme="majorBidi" w:cstheme="majorBidi"/>
          <w:color w:val="000000" w:themeColor="text1"/>
          <w:sz w:val="24"/>
          <w:szCs w:val="24"/>
        </w:rPr>
        <w:t>igure5) (</w:t>
      </w:r>
      <w:proofErr w:type="spellStart"/>
      <w:r w:rsidRPr="00E30870">
        <w:rPr>
          <w:rFonts w:asciiTheme="majorBidi" w:hAnsiTheme="majorBidi" w:cstheme="majorBidi"/>
          <w:color w:val="000000" w:themeColor="text1"/>
          <w:sz w:val="24"/>
          <w:szCs w:val="24"/>
        </w:rPr>
        <w:t>Declert</w:t>
      </w:r>
      <w:proofErr w:type="spellEnd"/>
      <w:r w:rsidRPr="00E30870">
        <w:rPr>
          <w:rFonts w:asciiTheme="majorBidi" w:hAnsiTheme="majorBidi" w:cstheme="majorBidi"/>
          <w:color w:val="000000" w:themeColor="text1"/>
          <w:sz w:val="24"/>
          <w:szCs w:val="24"/>
        </w:rPr>
        <w:t>, 1990).</w:t>
      </w: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sz w:val="24"/>
          <w:szCs w:val="24"/>
        </w:rPr>
      </w:pPr>
    </w:p>
    <w:p w:rsidR="00534C26" w:rsidRPr="00E30870" w:rsidRDefault="00F83B7D" w:rsidP="00534C26">
      <w:pPr>
        <w:spacing w:line="360" w:lineRule="auto"/>
        <w:jc w:val="center"/>
        <w:rPr>
          <w:rStyle w:val="CitationHTML"/>
          <w:rFonts w:asciiTheme="majorBidi" w:hAnsiTheme="majorBidi" w:cstheme="majorBidi"/>
          <w:color w:val="000000" w:themeColor="text1"/>
          <w:lang w:val="en-US"/>
        </w:rPr>
      </w:pPr>
      <w:r w:rsidRPr="00F83B7D">
        <w:rPr>
          <w:rStyle w:val="CitationHTML"/>
        </w:rPr>
        <w:pict>
          <v:shape id="_x0000_s1030" type="#_x0000_t202" style="position:absolute;left:0;text-align:left;margin-left:32.4pt;margin-top:140.65pt;width:382.4pt;height:51.65pt;z-index:251664384;mso-width-relative:margin;mso-height-relative:margin" stroked="f">
            <v:textbox style="mso-next-textbox:#_x0000_s1030">
              <w:txbxContent>
                <w:p w:rsidR="00534C26" w:rsidRPr="004A414A" w:rsidRDefault="00534C26" w:rsidP="006D0D8A">
                  <w:pPr>
                    <w:autoSpaceDE w:val="0"/>
                    <w:autoSpaceDN w:val="0"/>
                    <w:adjustRightInd w:val="0"/>
                    <w:spacing w:after="0" w:line="240" w:lineRule="auto"/>
                    <w:jc w:val="both"/>
                    <w:rPr>
                      <w:rFonts w:asciiTheme="majorBidi" w:hAnsiTheme="majorBidi" w:cstheme="majorBidi"/>
                      <w:color w:val="000000" w:themeColor="text1"/>
                    </w:rPr>
                  </w:pPr>
                  <w:r w:rsidRPr="00CE43C8">
                    <w:rPr>
                      <w:rFonts w:asciiTheme="majorBidi" w:hAnsiTheme="majorBidi" w:cstheme="majorBidi"/>
                      <w:b/>
                      <w:bCs/>
                      <w:color w:val="000000" w:themeColor="text1"/>
                    </w:rPr>
                    <w:t>Figure</w:t>
                  </w:r>
                  <w:r>
                    <w:rPr>
                      <w:rFonts w:asciiTheme="majorBidi" w:hAnsiTheme="majorBidi" w:cstheme="majorBidi"/>
                      <w:b/>
                      <w:bCs/>
                      <w:color w:val="000000" w:themeColor="text1"/>
                    </w:rPr>
                    <w:t xml:space="preserve"> 5 </w:t>
                  </w:r>
                  <w:r w:rsidRPr="00CE43C8">
                    <w:rPr>
                      <w:rFonts w:asciiTheme="majorBidi" w:hAnsiTheme="majorBidi" w:cstheme="majorBidi"/>
                      <w:color w:val="000000" w:themeColor="text1"/>
                    </w:rPr>
                    <w:t>Tache ocellée</w:t>
                  </w:r>
                  <w:r>
                    <w:rPr>
                      <w:rFonts w:asciiTheme="majorBidi" w:hAnsiTheme="majorBidi" w:cstheme="majorBidi"/>
                      <w:i/>
                      <w:iCs/>
                      <w:color w:val="000000" w:themeColor="text1"/>
                    </w:rPr>
                    <w:t xml:space="preserve"> (</w:t>
                  </w:r>
                  <w:proofErr w:type="spellStart"/>
                  <w:r>
                    <w:rPr>
                      <w:rFonts w:asciiTheme="majorBidi" w:hAnsiTheme="majorBidi" w:cstheme="majorBidi"/>
                      <w:i/>
                      <w:iCs/>
                      <w:color w:val="000000" w:themeColor="text1"/>
                    </w:rPr>
                    <w:t>cercosporiose</w:t>
                  </w:r>
                  <w:proofErr w:type="spellEnd"/>
                  <w:r>
                    <w:rPr>
                      <w:rFonts w:asciiTheme="majorBidi" w:hAnsiTheme="majorBidi" w:cstheme="majorBidi"/>
                      <w:i/>
                      <w:iCs/>
                      <w:color w:val="000000" w:themeColor="text1"/>
                    </w:rPr>
                    <w:t xml:space="preserve"> de la laitue)</w:t>
                  </w:r>
                  <w:r w:rsidR="006D0D8A" w:rsidRPr="006D0D8A">
                    <w:rPr>
                      <w:rFonts w:asciiTheme="majorBidi" w:hAnsiTheme="majorBidi" w:cstheme="majorBidi"/>
                      <w:color w:val="000000" w:themeColor="text1"/>
                    </w:rPr>
                    <w:t xml:space="preserve"> </w:t>
                  </w:r>
                  <w:r w:rsidR="006D0D8A" w:rsidRPr="00E043DB">
                    <w:rPr>
                      <w:rFonts w:asciiTheme="majorBidi" w:hAnsiTheme="majorBidi" w:cstheme="majorBidi"/>
                      <w:color w:val="000000" w:themeColor="text1"/>
                    </w:rPr>
                    <w:t>(a)</w:t>
                  </w:r>
                  <w:r w:rsidRPr="00E043DB">
                    <w:rPr>
                      <w:rFonts w:asciiTheme="majorBidi" w:hAnsiTheme="majorBidi" w:cstheme="majorBidi"/>
                      <w:i/>
                      <w:iCs/>
                      <w:color w:val="000000" w:themeColor="text1"/>
                    </w:rPr>
                    <w:t xml:space="preserve">; </w:t>
                  </w:r>
                  <w:r w:rsidRPr="004A414A">
                    <w:rPr>
                      <w:rFonts w:asciiTheme="majorBidi" w:hAnsiTheme="majorBidi" w:cstheme="majorBidi"/>
                      <w:color w:val="000000" w:themeColor="text1"/>
                    </w:rPr>
                    <w:t xml:space="preserve">Rouille des feuilles du haricot </w:t>
                  </w:r>
                  <w:r w:rsidRPr="00E043DB">
                    <w:rPr>
                      <w:rFonts w:asciiTheme="majorBidi" w:hAnsiTheme="majorBidi" w:cstheme="majorBidi"/>
                      <w:color w:val="000000" w:themeColor="text1"/>
                    </w:rPr>
                    <w:t>(</w:t>
                  </w:r>
                  <w:proofErr w:type="spellStart"/>
                  <w:r w:rsidRPr="00E043DB">
                    <w:rPr>
                      <w:rFonts w:asciiTheme="majorBidi" w:hAnsiTheme="majorBidi" w:cstheme="majorBidi"/>
                      <w:i/>
                      <w:iCs/>
                      <w:color w:val="000000" w:themeColor="text1"/>
                    </w:rPr>
                    <w:t>Uromyces</w:t>
                  </w:r>
                  <w:proofErr w:type="spellEnd"/>
                  <w:r w:rsidRPr="00E043DB">
                    <w:rPr>
                      <w:rFonts w:asciiTheme="majorBidi" w:hAnsiTheme="majorBidi" w:cstheme="majorBidi"/>
                      <w:i/>
                      <w:iCs/>
                      <w:color w:val="000000" w:themeColor="text1"/>
                    </w:rPr>
                    <w:t xml:space="preserve"> </w:t>
                  </w:r>
                  <w:proofErr w:type="spellStart"/>
                  <w:r w:rsidRPr="00E043DB">
                    <w:rPr>
                      <w:rFonts w:asciiTheme="majorBidi" w:hAnsiTheme="majorBidi" w:cstheme="majorBidi"/>
                      <w:i/>
                      <w:iCs/>
                      <w:color w:val="000000" w:themeColor="text1"/>
                    </w:rPr>
                    <w:t>appendiculatus</w:t>
                  </w:r>
                  <w:proofErr w:type="spellEnd"/>
                  <w:r w:rsidRPr="00E043DB">
                    <w:rPr>
                      <w:rFonts w:asciiTheme="majorBidi" w:hAnsiTheme="majorBidi" w:cstheme="majorBidi"/>
                      <w:color w:val="000000" w:themeColor="text1"/>
                    </w:rPr>
                    <w:t>)</w:t>
                  </w:r>
                  <w:r w:rsidR="006D0D8A" w:rsidRPr="006D0D8A">
                    <w:rPr>
                      <w:rFonts w:asciiTheme="majorBidi" w:hAnsiTheme="majorBidi" w:cstheme="majorBidi"/>
                      <w:color w:val="000000" w:themeColor="text1"/>
                    </w:rPr>
                    <w:t xml:space="preserve"> </w:t>
                  </w:r>
                  <w:r w:rsidR="006D0D8A" w:rsidRPr="00E043DB">
                    <w:rPr>
                      <w:rFonts w:asciiTheme="majorBidi" w:hAnsiTheme="majorBidi" w:cstheme="majorBidi"/>
                      <w:color w:val="000000" w:themeColor="text1"/>
                    </w:rPr>
                    <w:t>(b)</w:t>
                  </w:r>
                  <w:r w:rsidRPr="00E043DB">
                    <w:rPr>
                      <w:rFonts w:asciiTheme="majorBidi" w:hAnsiTheme="majorBidi" w:cstheme="majorBidi"/>
                      <w:color w:val="000000" w:themeColor="text1"/>
                    </w:rPr>
                    <w:t>.</w:t>
                  </w:r>
                  <w:r w:rsidRPr="00E043DB">
                    <w:rPr>
                      <w:rStyle w:val="CitationHTML"/>
                      <w:rFonts w:asciiTheme="majorBidi" w:hAnsiTheme="majorBidi" w:cstheme="majorBidi"/>
                      <w:color w:val="000000" w:themeColor="text1"/>
                    </w:rPr>
                    <w:t xml:space="preserve"> </w:t>
                  </w:r>
                  <w:r w:rsidRPr="00CE43C8">
                    <w:rPr>
                      <w:rFonts w:asciiTheme="majorBidi" w:hAnsiTheme="majorBidi" w:cstheme="majorBidi"/>
                      <w:color w:val="000000" w:themeColor="text1"/>
                    </w:rPr>
                    <w:t>Nécrose totale de la feuille de melon</w:t>
                  </w:r>
                  <w:r>
                    <w:rPr>
                      <w:rFonts w:asciiTheme="majorBidi" w:hAnsiTheme="majorBidi" w:cstheme="majorBidi"/>
                      <w:color w:val="000000" w:themeColor="text1"/>
                    </w:rPr>
                    <w:t>.</w:t>
                  </w:r>
                  <w:r w:rsidR="006D0D8A" w:rsidRPr="006D0D8A">
                    <w:rPr>
                      <w:rStyle w:val="CitationHTML"/>
                      <w:rFonts w:asciiTheme="majorBidi" w:hAnsiTheme="majorBidi" w:cstheme="majorBidi"/>
                      <w:color w:val="000000" w:themeColor="text1"/>
                    </w:rPr>
                    <w:t xml:space="preserve"> </w:t>
                  </w:r>
                  <w:r w:rsidR="006D0D8A" w:rsidRPr="006D0D8A">
                    <w:rPr>
                      <w:rStyle w:val="CitationHTML"/>
                      <w:rFonts w:asciiTheme="majorBidi" w:hAnsiTheme="majorBidi" w:cstheme="majorBidi"/>
                      <w:i w:val="0"/>
                      <w:iCs w:val="0"/>
                      <w:color w:val="000000" w:themeColor="text1"/>
                    </w:rPr>
                    <w:t>(c).</w:t>
                  </w:r>
                  <w:r>
                    <w:rPr>
                      <w:rStyle w:val="CitationHTML"/>
                      <w:rFonts w:asciiTheme="majorBidi" w:hAnsiTheme="majorBidi" w:cstheme="majorBidi"/>
                      <w:color w:val="000000" w:themeColor="text1"/>
                    </w:rPr>
                    <w:t xml:space="preserve"> </w:t>
                  </w:r>
                  <w:r w:rsidRPr="004A414A">
                    <w:rPr>
                      <w:rStyle w:val="CitationHTML"/>
                      <w:rFonts w:asciiTheme="majorBidi" w:hAnsiTheme="majorBidi" w:cstheme="majorBidi"/>
                      <w:i w:val="0"/>
                      <w:iCs w:val="0"/>
                      <w:color w:val="000000" w:themeColor="text1"/>
                    </w:rPr>
                    <w:t>Source</w:t>
                  </w:r>
                  <w:r w:rsidR="006D0D8A">
                    <w:rPr>
                      <w:rStyle w:val="CitationHTML"/>
                      <w:rFonts w:asciiTheme="majorBidi" w:hAnsiTheme="majorBidi" w:cstheme="majorBidi"/>
                      <w:i w:val="0"/>
                      <w:iCs w:val="0"/>
                      <w:color w:val="000000" w:themeColor="text1"/>
                    </w:rPr>
                    <w:t>:</w:t>
                  </w:r>
                  <w:r w:rsidRPr="004A414A">
                    <w:rPr>
                      <w:rStyle w:val="CitationHTML"/>
                      <w:rFonts w:asciiTheme="majorBidi" w:hAnsiTheme="majorBidi" w:cstheme="majorBidi"/>
                      <w:i w:val="0"/>
                      <w:iCs w:val="0"/>
                      <w:color w:val="000000" w:themeColor="text1"/>
                    </w:rPr>
                    <w:t xml:space="preserve"> </w:t>
                  </w:r>
                  <w:proofErr w:type="spellStart"/>
                  <w:r w:rsidRPr="004A414A">
                    <w:rPr>
                      <w:rStyle w:val="CitationHTML"/>
                      <w:rFonts w:asciiTheme="majorBidi" w:hAnsiTheme="majorBidi" w:cstheme="majorBidi"/>
                      <w:i w:val="0"/>
                      <w:iCs w:val="0"/>
                      <w:color w:val="000000" w:themeColor="text1"/>
                    </w:rPr>
                    <w:t>Declert</w:t>
                  </w:r>
                  <w:proofErr w:type="spellEnd"/>
                  <w:r w:rsidRPr="004A414A">
                    <w:rPr>
                      <w:rStyle w:val="CitationHTML"/>
                      <w:rFonts w:asciiTheme="majorBidi" w:hAnsiTheme="majorBidi" w:cstheme="majorBidi"/>
                      <w:i w:val="0"/>
                      <w:iCs w:val="0"/>
                      <w:color w:val="000000" w:themeColor="text1"/>
                    </w:rPr>
                    <w:t xml:space="preserve">, </w:t>
                  </w:r>
                  <w:r w:rsidRPr="004A414A">
                    <w:rPr>
                      <w:rFonts w:asciiTheme="majorBidi" w:hAnsiTheme="majorBidi" w:cstheme="majorBidi"/>
                      <w:color w:val="000000" w:themeColor="text1"/>
                    </w:rPr>
                    <w:t>1990.</w:t>
                  </w:r>
                </w:p>
              </w:txbxContent>
            </v:textbox>
          </v:shape>
        </w:pict>
      </w:r>
      <w:r w:rsidR="00534C26" w:rsidRPr="00E30870">
        <w:rPr>
          <w:rFonts w:asciiTheme="majorBidi" w:hAnsiTheme="majorBidi" w:cstheme="majorBidi"/>
          <w:i/>
          <w:iCs/>
          <w:noProof/>
          <w:color w:val="000000" w:themeColor="text1"/>
          <w:lang w:eastAsia="fr-FR"/>
        </w:rPr>
        <w:drawing>
          <wp:inline distT="0" distB="0" distL="0" distR="0">
            <wp:extent cx="4928965" cy="1743342"/>
            <wp:effectExtent l="19050" t="0" r="4985" b="0"/>
            <wp:docPr id="13"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4288" cy="3168352"/>
                      <a:chOff x="0" y="332656"/>
                      <a:chExt cx="7164288" cy="3168352"/>
                    </a:xfrm>
                  </a:grpSpPr>
                  <a:grpSp>
                    <a:nvGrpSpPr>
                      <a:cNvPr id="14" name="Groupe 13"/>
                      <a:cNvGrpSpPr/>
                    </a:nvGrpSpPr>
                    <a:grpSpPr>
                      <a:xfrm>
                        <a:off x="0" y="332656"/>
                        <a:ext cx="7164288" cy="3168352"/>
                        <a:chOff x="0" y="332656"/>
                        <a:chExt cx="7164288" cy="3168352"/>
                      </a:xfrm>
                    </a:grpSpPr>
                    <a:pic>
                      <a:nvPicPr>
                        <a:cNvPr id="3074" name="Picture 2"/>
                        <a:cNvPicPr>
                          <a:picLocks noChangeAspect="1" noChangeArrowheads="1"/>
                        </a:cNvPicPr>
                      </a:nvPicPr>
                      <a:blipFill>
                        <a:blip r:embed="rId28" cstate="print"/>
                        <a:srcRect/>
                        <a:stretch>
                          <a:fillRect/>
                        </a:stretch>
                      </a:blipFill>
                      <a:spPr bwMode="auto">
                        <a:xfrm>
                          <a:off x="0" y="404664"/>
                          <a:ext cx="2268252" cy="3024336"/>
                        </a:xfrm>
                        <a:prstGeom prst="rect">
                          <a:avLst/>
                        </a:prstGeom>
                        <a:noFill/>
                        <a:ln w="9525">
                          <a:noFill/>
                          <a:miter lim="800000"/>
                          <a:headEnd/>
                          <a:tailEnd/>
                        </a:ln>
                      </a:spPr>
                    </a:pic>
                    <a:grpSp>
                      <a:nvGrpSpPr>
                        <a:cNvPr id="4" name="Groupe 11"/>
                        <a:cNvGrpSpPr/>
                      </a:nvGrpSpPr>
                      <a:grpSpPr>
                        <a:xfrm>
                          <a:off x="323528" y="332656"/>
                          <a:ext cx="6840760" cy="3168352"/>
                          <a:chOff x="0" y="332656"/>
                          <a:chExt cx="7308304" cy="3100236"/>
                        </a:xfrm>
                      </a:grpSpPr>
                      <a:pic>
                        <a:nvPicPr>
                          <a:cNvPr id="3075" name="Picture 3"/>
                          <a:cNvPicPr>
                            <a:picLocks noChangeAspect="1" noChangeArrowheads="1"/>
                          </a:cNvPicPr>
                        </a:nvPicPr>
                        <a:blipFill>
                          <a:blip r:embed="rId29" cstate="print"/>
                          <a:srcRect/>
                          <a:stretch>
                            <a:fillRect/>
                          </a:stretch>
                        </a:blipFill>
                        <a:spPr bwMode="auto">
                          <a:xfrm>
                            <a:off x="2176589" y="332656"/>
                            <a:ext cx="2753085" cy="3168352"/>
                          </a:xfrm>
                          <a:prstGeom prst="rect">
                            <a:avLst/>
                          </a:prstGeom>
                          <a:noFill/>
                          <a:ln w="9525">
                            <a:noFill/>
                            <a:miter lim="800000"/>
                            <a:headEnd/>
                            <a:tailEnd/>
                          </a:ln>
                        </a:spPr>
                      </a:pic>
                      <a:pic>
                        <a:nvPicPr>
                          <a:cNvPr id="3076" name="Picture 4"/>
                          <a:cNvPicPr>
                            <a:picLocks noChangeAspect="1" noChangeArrowheads="1"/>
                          </a:cNvPicPr>
                        </a:nvPicPr>
                        <a:blipFill>
                          <a:blip r:embed="rId30" cstate="print"/>
                          <a:srcRect/>
                          <a:stretch>
                            <a:fillRect/>
                          </a:stretch>
                        </a:blipFill>
                        <a:spPr bwMode="auto">
                          <a:xfrm>
                            <a:off x="4940044" y="332656"/>
                            <a:ext cx="2224244" cy="3090784"/>
                          </a:xfrm>
                          <a:prstGeom prst="rect">
                            <a:avLst/>
                          </a:prstGeom>
                          <a:noFill/>
                          <a:ln w="9525">
                            <a:noFill/>
                            <a:miter lim="800000"/>
                            <a:headEnd/>
                            <a:tailEnd/>
                          </a:ln>
                        </a:spPr>
                      </a:pic>
                      <a:sp>
                        <a:nvSpPr>
                          <a:cNvPr id="7" name="ZoneTexte 6"/>
                          <a:cNvSpPr txBox="1"/>
                        </a:nvSpPr>
                        <a:spPr>
                          <a:xfrm>
                            <a:off x="0" y="404664"/>
                            <a:ext cx="504056" cy="3312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(a</a:t>
                              </a:r>
                              <a:r>
                                <a:rPr lang="fr-FR" sz="1400" dirty="0" smtClean="0"/>
                                <a:t>)</a:t>
                              </a:r>
                              <a:endParaRPr lang="fr-FR" sz="2000" dirty="0"/>
                            </a:p>
                          </a:txBody>
                          <a:useSpRect/>
                        </a:txSp>
                      </a:sp>
                      <a:sp>
                        <a:nvSpPr>
                          <a:cNvPr id="8" name="ZoneTexte 7"/>
                          <a:cNvSpPr txBox="1"/>
                        </a:nvSpPr>
                        <a:spPr>
                          <a:xfrm>
                            <a:off x="2123728" y="476672"/>
                            <a:ext cx="504056" cy="30116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t>(b)</a:t>
                              </a:r>
                              <a:endParaRPr lang="fr-FR" sz="2000" b="1" dirty="0"/>
                            </a:p>
                          </a:txBody>
                          <a:useSpRect/>
                        </a:txSp>
                      </a:sp>
                      <a:sp>
                        <a:nvSpPr>
                          <a:cNvPr id="9" name="ZoneTexte 8"/>
                          <a:cNvSpPr txBox="1"/>
                        </a:nvSpPr>
                        <a:spPr>
                          <a:xfrm>
                            <a:off x="5076056" y="476672"/>
                            <a:ext cx="504056" cy="3312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dirty="0" smtClean="0"/>
                                <a:t>(c )</a:t>
                              </a:r>
                              <a:endParaRPr lang="fr-FR" sz="1600" b="1" dirty="0"/>
                            </a:p>
                          </a:txBody>
                          <a:useSpRect/>
                        </a:txSp>
                      </a:sp>
                    </a:grpSp>
                  </a:grpSp>
                </lc:lockedCanvas>
              </a:graphicData>
            </a:graphic>
          </wp:inline>
        </w:drawing>
      </w:r>
    </w:p>
    <w:p w:rsidR="00534C26" w:rsidRPr="00E30870" w:rsidRDefault="00534C26" w:rsidP="00534C26">
      <w:pPr>
        <w:spacing w:line="360" w:lineRule="auto"/>
        <w:jc w:val="both"/>
        <w:rPr>
          <w:rStyle w:val="CitationHTML"/>
          <w:rFonts w:asciiTheme="majorBidi" w:hAnsiTheme="majorBidi" w:cstheme="majorBidi"/>
          <w:b/>
          <w:bCs/>
          <w:i w:val="0"/>
          <w:iCs w:val="0"/>
          <w:color w:val="000000" w:themeColor="text1"/>
          <w:sz w:val="24"/>
          <w:szCs w:val="24"/>
        </w:rPr>
      </w:pPr>
    </w:p>
    <w:p w:rsidR="00DF1391" w:rsidRDefault="00DF1391" w:rsidP="00F21F27">
      <w:pPr>
        <w:spacing w:line="360" w:lineRule="auto"/>
        <w:jc w:val="both"/>
        <w:rPr>
          <w:rStyle w:val="CitationHTML"/>
          <w:rFonts w:asciiTheme="majorBidi" w:hAnsiTheme="majorBidi" w:cstheme="majorBidi"/>
          <w:b/>
          <w:bCs/>
          <w:i w:val="0"/>
          <w:iCs w:val="0"/>
          <w:color w:val="000000" w:themeColor="text1"/>
          <w:sz w:val="28"/>
          <w:szCs w:val="28"/>
        </w:rPr>
      </w:pPr>
    </w:p>
    <w:p w:rsidR="00F21F27" w:rsidRPr="00E30870" w:rsidRDefault="008421E5" w:rsidP="00F21F27">
      <w:pPr>
        <w:spacing w:line="360" w:lineRule="auto"/>
        <w:jc w:val="both"/>
        <w:rPr>
          <w:rStyle w:val="CitationHTML"/>
          <w:rFonts w:asciiTheme="majorBidi" w:hAnsiTheme="majorBidi" w:cstheme="majorBidi"/>
          <w:b/>
          <w:bCs/>
          <w:i w:val="0"/>
          <w:iCs w:val="0"/>
          <w:color w:val="000000" w:themeColor="text1"/>
          <w:sz w:val="28"/>
          <w:szCs w:val="28"/>
        </w:rPr>
      </w:pPr>
      <w:r w:rsidRPr="00E30870">
        <w:rPr>
          <w:rStyle w:val="CitationHTML"/>
          <w:rFonts w:asciiTheme="majorBidi" w:hAnsiTheme="majorBidi" w:cstheme="majorBidi"/>
          <w:b/>
          <w:bCs/>
          <w:i w:val="0"/>
          <w:iCs w:val="0"/>
          <w:color w:val="000000" w:themeColor="text1"/>
          <w:sz w:val="28"/>
          <w:szCs w:val="28"/>
        </w:rPr>
        <w:t xml:space="preserve">2.6- </w:t>
      </w:r>
      <w:r w:rsidR="00534C26" w:rsidRPr="00E30870">
        <w:rPr>
          <w:rStyle w:val="CitationHTML"/>
          <w:rFonts w:asciiTheme="majorBidi" w:hAnsiTheme="majorBidi" w:cstheme="majorBidi"/>
          <w:b/>
          <w:bCs/>
          <w:i w:val="0"/>
          <w:iCs w:val="0"/>
          <w:color w:val="000000" w:themeColor="text1"/>
          <w:sz w:val="28"/>
          <w:szCs w:val="28"/>
        </w:rPr>
        <w:t>In</w:t>
      </w:r>
      <w:r w:rsidRPr="00E30870">
        <w:rPr>
          <w:rStyle w:val="CitationHTML"/>
          <w:rFonts w:asciiTheme="majorBidi" w:hAnsiTheme="majorBidi" w:cstheme="majorBidi"/>
          <w:b/>
          <w:bCs/>
          <w:i w:val="0"/>
          <w:iCs w:val="0"/>
          <w:color w:val="000000" w:themeColor="text1"/>
          <w:sz w:val="28"/>
          <w:szCs w:val="28"/>
        </w:rPr>
        <w:t>teractions plantes- pathogènes</w:t>
      </w:r>
    </w:p>
    <w:p w:rsidR="00C0083C" w:rsidRPr="00E30870" w:rsidRDefault="00534C26" w:rsidP="00F21F27">
      <w:pPr>
        <w:spacing w:line="360" w:lineRule="auto"/>
        <w:jc w:val="both"/>
        <w:rPr>
          <w:rFonts w:asciiTheme="majorBidi" w:hAnsiTheme="majorBidi" w:cstheme="majorBidi"/>
          <w:b/>
          <w:bCs/>
          <w:color w:val="000000" w:themeColor="text1"/>
          <w:sz w:val="28"/>
          <w:szCs w:val="28"/>
        </w:rPr>
      </w:pPr>
      <w:r w:rsidRPr="00E30870">
        <w:rPr>
          <w:rFonts w:asciiTheme="majorBidi" w:hAnsiTheme="majorBidi" w:cstheme="majorBidi"/>
          <w:color w:val="000000" w:themeColor="text1"/>
          <w:sz w:val="24"/>
          <w:szCs w:val="24"/>
          <w:lang w:val="fr-BE"/>
        </w:rPr>
        <w:t xml:space="preserve">Les plantes sont confrontées à une panoplie de microorganismes pathogènes. Néanmoins, les plantes mettent en place des barrières protectrices contre les </w:t>
      </w:r>
      <w:proofErr w:type="spellStart"/>
      <w:r w:rsidRPr="00E30870">
        <w:rPr>
          <w:rFonts w:asciiTheme="majorBidi" w:hAnsiTheme="majorBidi" w:cstheme="majorBidi"/>
          <w:color w:val="000000" w:themeColor="text1"/>
          <w:sz w:val="24"/>
          <w:szCs w:val="24"/>
          <w:lang w:val="fr-BE"/>
        </w:rPr>
        <w:t>bioagresseurs</w:t>
      </w:r>
      <w:proofErr w:type="spellEnd"/>
      <w:r w:rsidRPr="00E30870">
        <w:rPr>
          <w:rFonts w:asciiTheme="majorBidi" w:hAnsiTheme="majorBidi" w:cstheme="majorBidi"/>
          <w:color w:val="000000" w:themeColor="text1"/>
          <w:sz w:val="24"/>
          <w:szCs w:val="24"/>
          <w:lang w:val="fr-BE"/>
        </w:rPr>
        <w:t xml:space="preserve"> (cuticule, paroi </w:t>
      </w:r>
      <w:proofErr w:type="spellStart"/>
      <w:r w:rsidRPr="00E30870">
        <w:rPr>
          <w:rFonts w:asciiTheme="majorBidi" w:hAnsiTheme="majorBidi" w:cstheme="majorBidi"/>
          <w:color w:val="000000" w:themeColor="text1"/>
          <w:sz w:val="24"/>
          <w:szCs w:val="24"/>
          <w:lang w:val="fr-BE"/>
        </w:rPr>
        <w:t>pectocellulosique</w:t>
      </w:r>
      <w:proofErr w:type="spellEnd"/>
      <w:r w:rsidRPr="00E30870">
        <w:rPr>
          <w:rFonts w:asciiTheme="majorBidi" w:hAnsiTheme="majorBidi" w:cstheme="majorBidi"/>
          <w:color w:val="000000" w:themeColor="text1"/>
          <w:sz w:val="24"/>
          <w:szCs w:val="24"/>
          <w:lang w:val="fr-BE"/>
        </w:rPr>
        <w:t>, etc.). Ces barrières mécaniques leur attribuent une résistance particulière, face aux agents pathogènes (</w:t>
      </w:r>
      <w:proofErr w:type="spellStart"/>
      <w:r w:rsidRPr="00E30870">
        <w:rPr>
          <w:rStyle w:val="authorname"/>
          <w:rFonts w:asciiTheme="majorBidi" w:hAnsiTheme="majorBidi" w:cstheme="majorBidi"/>
          <w:color w:val="000000"/>
          <w:sz w:val="24"/>
          <w:szCs w:val="24"/>
          <w:shd w:val="clear" w:color="auto" w:fill="FFFFFF"/>
        </w:rPr>
        <w:t>Yu</w:t>
      </w:r>
      <w:proofErr w:type="spellEnd"/>
      <w:r w:rsidRPr="00E30870">
        <w:rPr>
          <w:rStyle w:val="authorname"/>
          <w:rFonts w:asciiTheme="majorBidi" w:hAnsiTheme="majorBidi" w:cstheme="majorBidi"/>
          <w:color w:val="000000"/>
          <w:sz w:val="24"/>
          <w:szCs w:val="24"/>
          <w:shd w:val="clear" w:color="auto" w:fill="FFFFFF"/>
        </w:rPr>
        <w:t xml:space="preserve"> </w:t>
      </w:r>
      <w:r w:rsidRPr="00E30870">
        <w:rPr>
          <w:rStyle w:val="authorname"/>
          <w:rFonts w:asciiTheme="majorBidi" w:hAnsiTheme="majorBidi" w:cstheme="majorBidi"/>
          <w:i/>
          <w:iCs/>
          <w:color w:val="000000"/>
          <w:sz w:val="24"/>
          <w:szCs w:val="24"/>
          <w:shd w:val="clear" w:color="auto" w:fill="FFFFFF"/>
        </w:rPr>
        <w:t xml:space="preserve">et </w:t>
      </w:r>
      <w:proofErr w:type="gramStart"/>
      <w:r w:rsidRPr="00E30870">
        <w:rPr>
          <w:rStyle w:val="authorname"/>
          <w:rFonts w:asciiTheme="majorBidi" w:hAnsiTheme="majorBidi" w:cstheme="majorBidi"/>
          <w:i/>
          <w:iCs/>
          <w:color w:val="000000"/>
          <w:sz w:val="24"/>
          <w:szCs w:val="24"/>
          <w:shd w:val="clear" w:color="auto" w:fill="FFFFFF"/>
        </w:rPr>
        <w:t>al.,</w:t>
      </w:r>
      <w:proofErr w:type="gramEnd"/>
      <w:r w:rsidRPr="00E30870">
        <w:rPr>
          <w:rStyle w:val="authorname"/>
          <w:rFonts w:asciiTheme="majorBidi" w:hAnsiTheme="majorBidi" w:cstheme="majorBidi"/>
          <w:color w:val="000000"/>
          <w:sz w:val="24"/>
          <w:szCs w:val="24"/>
          <w:shd w:val="clear" w:color="auto" w:fill="FFFFFF"/>
        </w:rPr>
        <w:t xml:space="preserve"> </w:t>
      </w:r>
      <w:r w:rsidRPr="00E30870">
        <w:rPr>
          <w:rFonts w:asciiTheme="majorBidi" w:hAnsiTheme="majorBidi" w:cstheme="majorBidi"/>
          <w:color w:val="000000"/>
          <w:sz w:val="24"/>
          <w:szCs w:val="24"/>
          <w:shd w:val="clear" w:color="auto" w:fill="FFFFFF"/>
        </w:rPr>
        <w:t>2011</w:t>
      </w:r>
      <w:r w:rsidRPr="00E30870">
        <w:rPr>
          <w:rFonts w:asciiTheme="majorBidi" w:hAnsiTheme="majorBidi" w:cstheme="majorBidi"/>
          <w:color w:val="000000" w:themeColor="text1"/>
          <w:sz w:val="24"/>
          <w:szCs w:val="24"/>
          <w:lang w:val="fr-BE"/>
        </w:rPr>
        <w:t>). Parfois, ceu</w:t>
      </w:r>
      <w:r w:rsidR="001B1933" w:rsidRPr="00E30870">
        <w:rPr>
          <w:rFonts w:asciiTheme="majorBidi" w:hAnsiTheme="majorBidi" w:cstheme="majorBidi"/>
          <w:color w:val="000000" w:themeColor="text1"/>
          <w:sz w:val="24"/>
          <w:szCs w:val="24"/>
          <w:lang w:val="fr-BE"/>
        </w:rPr>
        <w:t xml:space="preserve">x-ci réussissent à les franchir, </w:t>
      </w:r>
      <w:r w:rsidRPr="00E30870">
        <w:rPr>
          <w:rFonts w:asciiTheme="majorBidi" w:hAnsiTheme="majorBidi" w:cstheme="majorBidi"/>
          <w:color w:val="000000" w:themeColor="text1"/>
          <w:sz w:val="24"/>
          <w:szCs w:val="24"/>
          <w:lang w:val="fr-BE"/>
        </w:rPr>
        <w:t>déclench</w:t>
      </w:r>
      <w:r w:rsidR="001B1933" w:rsidRPr="00E30870">
        <w:rPr>
          <w:rFonts w:asciiTheme="majorBidi" w:hAnsiTheme="majorBidi" w:cstheme="majorBidi"/>
          <w:color w:val="000000" w:themeColor="text1"/>
          <w:sz w:val="24"/>
          <w:szCs w:val="24"/>
          <w:lang w:val="fr-BE"/>
        </w:rPr>
        <w:t>a</w:t>
      </w:r>
      <w:r w:rsidRPr="00E30870">
        <w:rPr>
          <w:rFonts w:asciiTheme="majorBidi" w:hAnsiTheme="majorBidi" w:cstheme="majorBidi"/>
          <w:color w:val="000000" w:themeColor="text1"/>
          <w:sz w:val="24"/>
          <w:szCs w:val="24"/>
          <w:lang w:val="fr-BE"/>
        </w:rPr>
        <w:t xml:space="preserve">nt ainsi des mécanismes de défense chez la plante. </w:t>
      </w:r>
      <w:r w:rsidRPr="00E30870">
        <w:rPr>
          <w:rFonts w:asciiTheme="majorBidi" w:hAnsiTheme="majorBidi" w:cstheme="majorBidi"/>
          <w:color w:val="000000" w:themeColor="text1"/>
          <w:sz w:val="24"/>
          <w:szCs w:val="24"/>
        </w:rPr>
        <w:t xml:space="preserve">Les agents pathogènes peuvent être </w:t>
      </w:r>
      <w:r w:rsidRPr="00E30870">
        <w:rPr>
          <w:rFonts w:asciiTheme="majorBidi" w:eastAsia="TimesNewRomanPSMT" w:hAnsiTheme="majorBidi" w:cstheme="majorBidi"/>
          <w:color w:val="000000" w:themeColor="text1"/>
          <w:sz w:val="24"/>
          <w:szCs w:val="24"/>
        </w:rPr>
        <w:t xml:space="preserve">biotrophes, nécrotrophes ou hemibiotrophes. Les premiers agents cités parasitent les cellules vivantes alors que les nécrotrophes se développent en tuant les tissus sur lesquels ils prolifèrent. Enfin, les hemibiotrophes commencent principalement leur cycle comme des biotrophes, puis passent à un stade déterminé de leur cycle à une phase </w:t>
      </w:r>
      <w:proofErr w:type="spellStart"/>
      <w:r w:rsidRPr="00E30870">
        <w:rPr>
          <w:rFonts w:asciiTheme="majorBidi" w:eastAsia="TimesNewRomanPSMT" w:hAnsiTheme="majorBidi" w:cstheme="majorBidi"/>
          <w:color w:val="000000" w:themeColor="text1"/>
          <w:sz w:val="24"/>
          <w:szCs w:val="24"/>
        </w:rPr>
        <w:t>nécrotrophe</w:t>
      </w:r>
      <w:proofErr w:type="spellEnd"/>
      <w:r w:rsidRPr="00E30870">
        <w:rPr>
          <w:rFonts w:asciiTheme="majorBidi" w:eastAsia="TimesNewRomanPSMT" w:hAnsiTheme="majorBidi" w:cstheme="majorBidi"/>
          <w:color w:val="000000" w:themeColor="text1"/>
          <w:sz w:val="24"/>
          <w:szCs w:val="24"/>
        </w:rPr>
        <w:t xml:space="preserve">. Quand les mécanismes de défenses sont insuffisants pour lutter contre l’agent pathogène, la plante est dite sensible et l’interaction plante pathogène est compatible. En revanche, la reconnaissance précoce de l’agent agresseur par la plante qui permet la mise en place, par la plante, d’une </w:t>
      </w:r>
      <w:r w:rsidRPr="00E30870">
        <w:rPr>
          <w:rFonts w:asciiTheme="majorBidi" w:hAnsiTheme="majorBidi" w:cstheme="majorBidi"/>
          <w:color w:val="000000" w:themeColor="text1"/>
          <w:sz w:val="24"/>
          <w:szCs w:val="24"/>
        </w:rPr>
        <w:t xml:space="preserve"> réaction de défense efficace engendrant une incompatibilité des deux antagonistes (Ramiro, </w:t>
      </w:r>
      <w:r w:rsidRPr="00E30870">
        <w:rPr>
          <w:rFonts w:asciiTheme="majorBidi" w:eastAsia="TimesNewRomanPSMT" w:hAnsiTheme="majorBidi" w:cstheme="majorBidi"/>
          <w:color w:val="000000" w:themeColor="text1"/>
          <w:sz w:val="24"/>
          <w:szCs w:val="24"/>
        </w:rPr>
        <w:t>2009</w:t>
      </w:r>
      <w:r w:rsidRPr="00E30870">
        <w:rPr>
          <w:rFonts w:asciiTheme="majorBidi" w:hAnsiTheme="majorBidi" w:cstheme="majorBidi"/>
          <w:color w:val="000000" w:themeColor="text1"/>
          <w:sz w:val="24"/>
          <w:szCs w:val="24"/>
        </w:rPr>
        <w:t>).</w:t>
      </w:r>
    </w:p>
    <w:p w:rsidR="00C0083C" w:rsidRPr="00E30870" w:rsidRDefault="00534C26" w:rsidP="00C0083C">
      <w:pPr>
        <w:spacing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lastRenderedPageBreak/>
        <w:t>Les interactions entre la plante et l´agent pathogène impliquent l´échange d´informations. Le pathogène reconnait certains facteurs portés par l’hôte (Christensen, 2003) et modifie son  métabolisme pour exercer son pouvoir pathogène et induire la maladie (</w:t>
      </w:r>
      <w:proofErr w:type="spellStart"/>
      <w:r w:rsidRPr="00E30870">
        <w:rPr>
          <w:rFonts w:asciiTheme="majorBidi" w:hAnsiTheme="majorBidi" w:cstheme="majorBidi"/>
          <w:color w:val="000000" w:themeColor="text1"/>
          <w:sz w:val="24"/>
          <w:szCs w:val="24"/>
        </w:rPr>
        <w:t>Alfano</w:t>
      </w:r>
      <w:proofErr w:type="spellEnd"/>
      <w:r w:rsidRPr="00E30870">
        <w:rPr>
          <w:rFonts w:asciiTheme="majorBidi" w:hAnsiTheme="majorBidi" w:cstheme="majorBidi"/>
          <w:color w:val="000000" w:themeColor="text1"/>
          <w:sz w:val="24"/>
          <w:szCs w:val="24"/>
        </w:rPr>
        <w:t xml:space="preserve"> et </w:t>
      </w:r>
      <w:proofErr w:type="spellStart"/>
      <w:r w:rsidRPr="00E30870">
        <w:rPr>
          <w:rFonts w:asciiTheme="majorBidi" w:hAnsiTheme="majorBidi" w:cstheme="majorBidi"/>
          <w:color w:val="000000" w:themeColor="text1"/>
          <w:sz w:val="24"/>
          <w:szCs w:val="24"/>
        </w:rPr>
        <w:t>Collmer</w:t>
      </w:r>
      <w:proofErr w:type="spellEnd"/>
      <w:r w:rsidRPr="00E30870">
        <w:rPr>
          <w:rFonts w:asciiTheme="majorBidi" w:hAnsiTheme="majorBidi" w:cstheme="majorBidi"/>
          <w:color w:val="000000" w:themeColor="text1"/>
          <w:sz w:val="24"/>
          <w:szCs w:val="24"/>
        </w:rPr>
        <w:t xml:space="preserve">, 2004; Chang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 xml:space="preserve">2004). Comme indiqué ultérieurement, </w:t>
      </w:r>
      <w:r w:rsidRPr="00E30870">
        <w:rPr>
          <w:rFonts w:asciiTheme="majorBidi" w:eastAsia="TimesNewRomanPSMT" w:hAnsiTheme="majorBidi" w:cstheme="majorBidi"/>
          <w:color w:val="000000" w:themeColor="text1"/>
          <w:sz w:val="24"/>
          <w:szCs w:val="24"/>
        </w:rPr>
        <w:t>les plantes possèdent un système immunitaire</w:t>
      </w:r>
      <w:r w:rsidRPr="00E30870">
        <w:rPr>
          <w:rFonts w:asciiTheme="majorBidi" w:hAnsiTheme="majorBidi" w:cstheme="majorBidi"/>
          <w:color w:val="000000" w:themeColor="text1"/>
          <w:sz w:val="24"/>
          <w:szCs w:val="24"/>
        </w:rPr>
        <w:t xml:space="preserve"> </w:t>
      </w:r>
      <w:r w:rsidRPr="00E30870">
        <w:rPr>
          <w:rFonts w:asciiTheme="majorBidi" w:eastAsia="TimesNewRomanPSMT" w:hAnsiTheme="majorBidi" w:cstheme="majorBidi"/>
          <w:color w:val="000000" w:themeColor="text1"/>
          <w:sz w:val="24"/>
          <w:szCs w:val="24"/>
        </w:rPr>
        <w:t>leur permettant une réaction active aux agents pathogènes, par une grande diversité de réponses</w:t>
      </w:r>
      <w:r w:rsidRPr="00E30870">
        <w:rPr>
          <w:rFonts w:asciiTheme="majorBidi" w:hAnsiTheme="majorBidi" w:cstheme="majorBidi"/>
          <w:color w:val="000000" w:themeColor="text1"/>
          <w:sz w:val="24"/>
          <w:szCs w:val="24"/>
        </w:rPr>
        <w:t xml:space="preserve">. </w:t>
      </w:r>
      <w:r w:rsidRPr="00E30870">
        <w:rPr>
          <w:rFonts w:asciiTheme="majorBidi" w:eastAsia="TimesNewRomanPSMT" w:hAnsiTheme="majorBidi" w:cstheme="majorBidi"/>
          <w:color w:val="000000" w:themeColor="text1"/>
          <w:sz w:val="24"/>
          <w:szCs w:val="24"/>
        </w:rPr>
        <w:t>La reconnaissance des composants étrangers par les plantes est coordonnée par des récepteurs spécialisés, qui déclenchent les réponses de défense de l’hôte après la détection de l’agent pathogène.</w:t>
      </w:r>
      <w:r w:rsidRPr="00E30870">
        <w:rPr>
          <w:rFonts w:asciiTheme="majorBidi" w:hAnsiTheme="majorBidi" w:cstheme="majorBidi"/>
          <w:color w:val="000000" w:themeColor="text1"/>
          <w:sz w:val="24"/>
          <w:szCs w:val="24"/>
        </w:rPr>
        <w:t xml:space="preserve"> </w:t>
      </w:r>
    </w:p>
    <w:p w:rsidR="00C0083C" w:rsidRPr="00E30870" w:rsidRDefault="00534C26" w:rsidP="00C0083C">
      <w:pPr>
        <w:spacing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 xml:space="preserve">Deux types de réactions peuvent intervenir. </w:t>
      </w:r>
      <w:r w:rsidRPr="00E30870">
        <w:rPr>
          <w:rFonts w:asciiTheme="majorBidi" w:eastAsia="TimesNewRomanPSMT" w:hAnsiTheme="majorBidi" w:cstheme="majorBidi"/>
          <w:color w:val="000000" w:themeColor="text1"/>
          <w:sz w:val="24"/>
          <w:szCs w:val="24"/>
        </w:rPr>
        <w:t>En premier lieu, la résistance basale (ou non hôte) qui est déclenchée par de</w:t>
      </w:r>
      <w:r w:rsidR="00F23110" w:rsidRPr="00E30870">
        <w:rPr>
          <w:rFonts w:asciiTheme="majorBidi" w:eastAsia="TimesNewRomanPSMT" w:hAnsiTheme="majorBidi" w:cstheme="majorBidi"/>
          <w:color w:val="000000" w:themeColor="text1"/>
          <w:sz w:val="24"/>
          <w:szCs w:val="24"/>
        </w:rPr>
        <w:t>s récepteurs généraux</w:t>
      </w:r>
      <w:r w:rsidRPr="00E30870">
        <w:rPr>
          <w:rFonts w:asciiTheme="majorBidi" w:eastAsia="TimesNewRomanPSMT" w:hAnsiTheme="majorBidi" w:cstheme="majorBidi"/>
          <w:color w:val="000000" w:themeColor="text1"/>
          <w:sz w:val="24"/>
          <w:szCs w:val="24"/>
        </w:rPr>
        <w:t xml:space="preserve"> présents dans la membrane végétale</w:t>
      </w:r>
      <w:r w:rsidR="00F23110" w:rsidRPr="00E30870">
        <w:rPr>
          <w:rFonts w:asciiTheme="majorBidi" w:eastAsia="TimesNewRomanPSMT" w:hAnsiTheme="majorBidi" w:cstheme="majorBidi"/>
          <w:color w:val="000000" w:themeColor="text1"/>
          <w:sz w:val="24"/>
          <w:szCs w:val="24"/>
        </w:rPr>
        <w:t xml:space="preserve"> et qui sont</w:t>
      </w:r>
      <w:r w:rsidRPr="00E30870">
        <w:rPr>
          <w:rFonts w:asciiTheme="majorBidi" w:eastAsia="TimesNewRomanPSMT" w:hAnsiTheme="majorBidi" w:cstheme="majorBidi"/>
          <w:color w:val="000000" w:themeColor="text1"/>
          <w:sz w:val="24"/>
          <w:szCs w:val="24"/>
        </w:rPr>
        <w:t xml:space="preserve"> capables de reconnaitre des signaux moléculaires communs aux microbes ou aux agents pathogènes (</w:t>
      </w:r>
      <w:proofErr w:type="spellStart"/>
      <w:r w:rsidRPr="00E30870">
        <w:rPr>
          <w:rFonts w:asciiTheme="majorBidi" w:eastAsia="TimesNewRomanPSMT" w:hAnsiTheme="majorBidi" w:cstheme="majorBidi"/>
          <w:color w:val="000000" w:themeColor="text1"/>
          <w:sz w:val="24"/>
          <w:szCs w:val="24"/>
        </w:rPr>
        <w:t>MAMPs</w:t>
      </w:r>
      <w:proofErr w:type="spellEnd"/>
      <w:r w:rsidRPr="00E30870">
        <w:rPr>
          <w:rFonts w:asciiTheme="majorBidi" w:eastAsia="TimesNewRomanPSMT" w:hAnsiTheme="majorBidi" w:cstheme="majorBidi"/>
          <w:color w:val="000000" w:themeColor="text1"/>
          <w:sz w:val="24"/>
          <w:szCs w:val="24"/>
        </w:rPr>
        <w:t xml:space="preserve"> ou </w:t>
      </w:r>
      <w:proofErr w:type="spellStart"/>
      <w:r w:rsidRPr="00E30870">
        <w:rPr>
          <w:rFonts w:asciiTheme="majorBidi" w:eastAsia="TimesNewRomanPSMT" w:hAnsiTheme="majorBidi" w:cstheme="majorBidi"/>
          <w:color w:val="000000" w:themeColor="text1"/>
          <w:sz w:val="24"/>
          <w:szCs w:val="24"/>
        </w:rPr>
        <w:t>PAMPs</w:t>
      </w:r>
      <w:proofErr w:type="spellEnd"/>
      <w:r w:rsidRPr="00E30870">
        <w:rPr>
          <w:rFonts w:asciiTheme="majorBidi" w:eastAsia="TimesNewRomanPSMT" w:hAnsiTheme="majorBidi" w:cstheme="majorBidi"/>
          <w:color w:val="000000" w:themeColor="text1"/>
          <w:sz w:val="24"/>
          <w:szCs w:val="24"/>
        </w:rPr>
        <w:t xml:space="preserve"> , pour </w:t>
      </w:r>
      <w:proofErr w:type="spellStart"/>
      <w:r w:rsidRPr="00E30870">
        <w:rPr>
          <w:rFonts w:asciiTheme="majorBidi" w:eastAsia="TimesNewRomanPSMT" w:hAnsiTheme="majorBidi" w:cstheme="majorBidi"/>
          <w:color w:val="000000" w:themeColor="text1"/>
          <w:sz w:val="24"/>
          <w:szCs w:val="24"/>
        </w:rPr>
        <w:t>microbial</w:t>
      </w:r>
      <w:proofErr w:type="spellEnd"/>
      <w:r w:rsidRPr="00E30870">
        <w:rPr>
          <w:rFonts w:asciiTheme="majorBidi" w:eastAsia="TimesNewRomanPSMT" w:hAnsiTheme="majorBidi" w:cstheme="majorBidi"/>
          <w:color w:val="000000" w:themeColor="text1"/>
          <w:sz w:val="24"/>
          <w:szCs w:val="24"/>
        </w:rPr>
        <w:t xml:space="preserve">- or </w:t>
      </w:r>
      <w:proofErr w:type="spellStart"/>
      <w:r w:rsidRPr="00E30870">
        <w:rPr>
          <w:rFonts w:asciiTheme="majorBidi" w:eastAsia="TimesNewRomanPSMT" w:hAnsiTheme="majorBidi" w:cstheme="majorBidi"/>
          <w:color w:val="000000" w:themeColor="text1"/>
          <w:sz w:val="24"/>
          <w:szCs w:val="24"/>
        </w:rPr>
        <w:t>pathogen</w:t>
      </w:r>
      <w:proofErr w:type="spellEnd"/>
      <w:r w:rsidRPr="00E30870">
        <w:rPr>
          <w:rFonts w:asciiTheme="majorBidi" w:eastAsia="TimesNewRomanPSMT" w:hAnsiTheme="majorBidi" w:cstheme="majorBidi"/>
          <w:color w:val="000000" w:themeColor="text1"/>
          <w:sz w:val="24"/>
          <w:szCs w:val="24"/>
        </w:rPr>
        <w:t>-</w:t>
      </w:r>
      <w:proofErr w:type="spellStart"/>
      <w:r w:rsidRPr="00E30870">
        <w:rPr>
          <w:rFonts w:asciiTheme="majorBidi" w:eastAsia="TimesNewRomanPSMT" w:hAnsiTheme="majorBidi" w:cstheme="majorBidi"/>
          <w:color w:val="000000" w:themeColor="text1"/>
          <w:sz w:val="24"/>
          <w:szCs w:val="24"/>
        </w:rPr>
        <w:t>associated</w:t>
      </w:r>
      <w:proofErr w:type="spellEnd"/>
      <w:r w:rsidRPr="00E30870">
        <w:rPr>
          <w:rFonts w:asciiTheme="majorBidi" w:eastAsia="TimesNewRomanPSMT" w:hAnsiTheme="majorBidi" w:cstheme="majorBidi"/>
          <w:color w:val="000000" w:themeColor="text1"/>
          <w:sz w:val="24"/>
          <w:szCs w:val="24"/>
        </w:rPr>
        <w:t xml:space="preserve"> </w:t>
      </w:r>
      <w:proofErr w:type="spellStart"/>
      <w:r w:rsidRPr="00E30870">
        <w:rPr>
          <w:rFonts w:asciiTheme="majorBidi" w:eastAsia="TimesNewRomanPSMT" w:hAnsiTheme="majorBidi" w:cstheme="majorBidi"/>
          <w:color w:val="000000" w:themeColor="text1"/>
          <w:sz w:val="24"/>
          <w:szCs w:val="24"/>
        </w:rPr>
        <w:t>molecular</w:t>
      </w:r>
      <w:proofErr w:type="spellEnd"/>
      <w:r w:rsidRPr="00E30870">
        <w:rPr>
          <w:rFonts w:asciiTheme="majorBidi" w:eastAsia="TimesNewRomanPSMT" w:hAnsiTheme="majorBidi" w:cstheme="majorBidi"/>
          <w:color w:val="000000" w:themeColor="text1"/>
          <w:sz w:val="24"/>
          <w:szCs w:val="24"/>
        </w:rPr>
        <w:t xml:space="preserve"> patterns), comme par exemple, les fragments de parois cellulaires, la chitine ou des motifs peptidiques du flagelle des bactéries (</w:t>
      </w:r>
      <w:proofErr w:type="spellStart"/>
      <w:r w:rsidRPr="00E30870">
        <w:rPr>
          <w:rFonts w:asciiTheme="majorBidi" w:eastAsia="TimesNewRomanPSMT" w:hAnsiTheme="majorBidi" w:cstheme="majorBidi"/>
          <w:color w:val="000000" w:themeColor="text1"/>
          <w:sz w:val="24"/>
          <w:szCs w:val="24"/>
        </w:rPr>
        <w:t>Ausubel</w:t>
      </w:r>
      <w:proofErr w:type="spellEnd"/>
      <w:r w:rsidRPr="00E30870">
        <w:rPr>
          <w:rFonts w:asciiTheme="majorBidi" w:eastAsia="TimesNewRomanPSMT" w:hAnsiTheme="majorBidi" w:cstheme="majorBidi"/>
          <w:color w:val="000000" w:themeColor="text1"/>
          <w:sz w:val="24"/>
          <w:szCs w:val="24"/>
        </w:rPr>
        <w:t xml:space="preserve">, 2005; Chisholm </w:t>
      </w:r>
      <w:r w:rsidRPr="00E30870">
        <w:rPr>
          <w:rFonts w:asciiTheme="majorBidi" w:eastAsia="TimesNewRomanPSMT" w:hAnsiTheme="majorBidi" w:cstheme="majorBidi"/>
          <w:i/>
          <w:iCs/>
          <w:color w:val="000000" w:themeColor="text1"/>
          <w:sz w:val="24"/>
          <w:szCs w:val="24"/>
        </w:rPr>
        <w:t>et al</w:t>
      </w:r>
      <w:r w:rsidRPr="00E30870">
        <w:rPr>
          <w:rFonts w:asciiTheme="majorBidi" w:eastAsia="TimesNewRomanPSMT" w:hAnsiTheme="majorBidi" w:cstheme="majorBidi"/>
          <w:color w:val="000000" w:themeColor="text1"/>
          <w:sz w:val="24"/>
          <w:szCs w:val="24"/>
        </w:rPr>
        <w:t xml:space="preserve">., 2006; </w:t>
      </w:r>
      <w:proofErr w:type="spellStart"/>
      <w:r w:rsidRPr="00E30870">
        <w:rPr>
          <w:rFonts w:asciiTheme="majorBidi" w:eastAsia="TimesNewRomanPSMT" w:hAnsiTheme="majorBidi" w:cstheme="majorBidi"/>
          <w:color w:val="000000" w:themeColor="text1"/>
          <w:sz w:val="24"/>
          <w:szCs w:val="24"/>
        </w:rPr>
        <w:t>Nurnberger</w:t>
      </w:r>
      <w:proofErr w:type="spellEnd"/>
      <w:r w:rsidRPr="00E30870">
        <w:rPr>
          <w:rFonts w:asciiTheme="majorBidi" w:eastAsia="TimesNewRomanPSMT" w:hAnsiTheme="majorBidi" w:cstheme="majorBidi"/>
          <w:color w:val="000000" w:themeColor="text1"/>
          <w:sz w:val="24"/>
          <w:szCs w:val="24"/>
        </w:rPr>
        <w:t xml:space="preserve"> et </w:t>
      </w:r>
      <w:proofErr w:type="spellStart"/>
      <w:r w:rsidRPr="00E30870">
        <w:rPr>
          <w:rFonts w:asciiTheme="majorBidi" w:eastAsia="TimesNewRomanPSMT" w:hAnsiTheme="majorBidi" w:cstheme="majorBidi"/>
          <w:color w:val="000000" w:themeColor="text1"/>
          <w:sz w:val="24"/>
          <w:szCs w:val="24"/>
        </w:rPr>
        <w:t>Kemmerling</w:t>
      </w:r>
      <w:proofErr w:type="spellEnd"/>
      <w:r w:rsidRPr="00E30870">
        <w:rPr>
          <w:rFonts w:asciiTheme="majorBidi" w:eastAsia="TimesNewRomanPSMT" w:hAnsiTheme="majorBidi" w:cstheme="majorBidi"/>
          <w:color w:val="000000" w:themeColor="text1"/>
          <w:sz w:val="24"/>
          <w:szCs w:val="24"/>
        </w:rPr>
        <w:t>, 2006).</w:t>
      </w:r>
      <w:r w:rsidRPr="00E30870">
        <w:rPr>
          <w:rFonts w:asciiTheme="majorBidi" w:hAnsiTheme="majorBidi" w:cstheme="majorBidi"/>
          <w:color w:val="000000" w:themeColor="text1"/>
          <w:sz w:val="24"/>
          <w:szCs w:val="24"/>
        </w:rPr>
        <w:t xml:space="preserve"> Ce type de résistance réduit la sévérité des symptômes, mais ne suffit pas pour arrêter le développement de l’agent pathogène et de la maladie (ADAM, 2008). </w:t>
      </w:r>
    </w:p>
    <w:p w:rsidR="00C0083C" w:rsidRPr="00E30870" w:rsidRDefault="00534C26" w:rsidP="00C0083C">
      <w:pPr>
        <w:spacing w:line="360" w:lineRule="auto"/>
        <w:jc w:val="both"/>
        <w:rPr>
          <w:rFonts w:asciiTheme="majorBidi" w:eastAsia="TimesNewRomanPSMT" w:hAnsiTheme="majorBidi" w:cstheme="majorBidi"/>
          <w:i/>
          <w:iCs/>
          <w:color w:val="000000" w:themeColor="text1"/>
          <w:sz w:val="24"/>
          <w:szCs w:val="24"/>
        </w:rPr>
      </w:pPr>
      <w:r w:rsidRPr="00E30870">
        <w:rPr>
          <w:rFonts w:asciiTheme="majorBidi" w:hAnsiTheme="majorBidi" w:cstheme="majorBidi"/>
          <w:color w:val="000000" w:themeColor="text1"/>
          <w:sz w:val="24"/>
          <w:szCs w:val="24"/>
        </w:rPr>
        <w:t xml:space="preserve">La coévolution entre les agents pathogènes et les plantes mène au renforcement des mécanismes d’action des deux partenaires. D’un coté, les agents agresseurs commencent à secréter </w:t>
      </w:r>
      <w:r w:rsidRPr="00E30870">
        <w:rPr>
          <w:rFonts w:asciiTheme="majorBidi" w:eastAsia="TimesNewRomanPSMT" w:hAnsiTheme="majorBidi" w:cstheme="majorBidi"/>
          <w:color w:val="000000" w:themeColor="text1"/>
          <w:sz w:val="24"/>
          <w:szCs w:val="24"/>
        </w:rPr>
        <w:t>des protéines effectrices de virulence qui sont délivrées dans les cellules hôtes (Jones</w:t>
      </w:r>
      <w:r w:rsidRPr="00E30870">
        <w:rPr>
          <w:rFonts w:asciiTheme="majorBidi" w:eastAsia="TimesNewRomanPSMT" w:hAnsiTheme="majorBidi" w:cstheme="majorBidi"/>
          <w:b/>
          <w:bCs/>
          <w:color w:val="000000" w:themeColor="text1"/>
          <w:sz w:val="24"/>
          <w:szCs w:val="24"/>
        </w:rPr>
        <w:t xml:space="preserve"> </w:t>
      </w:r>
      <w:r w:rsidRPr="00E30870">
        <w:rPr>
          <w:rFonts w:asciiTheme="majorBidi" w:eastAsia="TimesNewRomanPSMT" w:hAnsiTheme="majorBidi" w:cstheme="majorBidi"/>
          <w:color w:val="000000" w:themeColor="text1"/>
          <w:sz w:val="24"/>
          <w:szCs w:val="24"/>
        </w:rPr>
        <w:t xml:space="preserve">et </w:t>
      </w:r>
      <w:proofErr w:type="spellStart"/>
      <w:r w:rsidRPr="00E30870">
        <w:rPr>
          <w:rFonts w:asciiTheme="majorBidi" w:eastAsia="TimesNewRomanPSMT" w:hAnsiTheme="majorBidi" w:cstheme="majorBidi"/>
          <w:color w:val="000000" w:themeColor="text1"/>
          <w:sz w:val="24"/>
          <w:szCs w:val="24"/>
        </w:rPr>
        <w:t>Dangl</w:t>
      </w:r>
      <w:proofErr w:type="spellEnd"/>
      <w:r w:rsidRPr="00E30870">
        <w:rPr>
          <w:rFonts w:asciiTheme="majorBidi" w:eastAsia="TimesNewRomanPSMT" w:hAnsiTheme="majorBidi" w:cstheme="majorBidi"/>
          <w:color w:val="000000" w:themeColor="text1"/>
          <w:sz w:val="24"/>
          <w:szCs w:val="24"/>
        </w:rPr>
        <w:t xml:space="preserve">, 2006 ; </w:t>
      </w:r>
      <w:proofErr w:type="spellStart"/>
      <w:r w:rsidRPr="00E30870">
        <w:rPr>
          <w:rFonts w:asciiTheme="majorBidi" w:eastAsia="TimesNewRomanPSMT" w:hAnsiTheme="majorBidi" w:cstheme="majorBidi"/>
          <w:color w:val="000000" w:themeColor="text1"/>
          <w:sz w:val="24"/>
          <w:szCs w:val="24"/>
        </w:rPr>
        <w:t>Catanzariti</w:t>
      </w:r>
      <w:proofErr w:type="spellEnd"/>
      <w:r w:rsidRPr="00E30870">
        <w:rPr>
          <w:rFonts w:asciiTheme="majorBidi" w:eastAsia="TimesNewRomanPSMT" w:hAnsiTheme="majorBidi" w:cstheme="majorBidi"/>
          <w:color w:val="000000" w:themeColor="text1"/>
          <w:sz w:val="24"/>
          <w:szCs w:val="24"/>
        </w:rPr>
        <w:t xml:space="preserve"> </w:t>
      </w:r>
      <w:r w:rsidRPr="00E30870">
        <w:rPr>
          <w:rFonts w:asciiTheme="majorBidi" w:eastAsia="TimesNewRomanPSMT" w:hAnsiTheme="majorBidi" w:cstheme="majorBidi"/>
          <w:i/>
          <w:iCs/>
          <w:color w:val="000000" w:themeColor="text1"/>
          <w:sz w:val="24"/>
          <w:szCs w:val="24"/>
        </w:rPr>
        <w:t xml:space="preserve">et </w:t>
      </w:r>
      <w:proofErr w:type="gramStart"/>
      <w:r w:rsidRPr="00E30870">
        <w:rPr>
          <w:rFonts w:asciiTheme="majorBidi" w:eastAsia="TimesNewRomanPSMT" w:hAnsiTheme="majorBidi" w:cstheme="majorBidi"/>
          <w:i/>
          <w:iCs/>
          <w:color w:val="000000" w:themeColor="text1"/>
          <w:sz w:val="24"/>
          <w:szCs w:val="24"/>
        </w:rPr>
        <w:t>al</w:t>
      </w:r>
      <w:r w:rsidRPr="00E30870">
        <w:rPr>
          <w:rFonts w:asciiTheme="majorBidi" w:eastAsia="TimesNewRomanPSMT" w:hAnsiTheme="majorBidi" w:cstheme="majorBidi"/>
          <w:color w:val="000000" w:themeColor="text1"/>
          <w:sz w:val="24"/>
          <w:szCs w:val="24"/>
        </w:rPr>
        <w:t>.,</w:t>
      </w:r>
      <w:proofErr w:type="gramEnd"/>
      <w:r w:rsidRPr="00E30870">
        <w:rPr>
          <w:rFonts w:asciiTheme="majorBidi" w:eastAsia="TimesNewRomanPSMT" w:hAnsiTheme="majorBidi" w:cstheme="majorBidi"/>
          <w:color w:val="000000" w:themeColor="text1"/>
          <w:sz w:val="24"/>
          <w:szCs w:val="24"/>
        </w:rPr>
        <w:t xml:space="preserve"> 2007). D’un autre coté, les plantes développent des moyens pour reconnaitre les protéines effectrices et agissent par le biais d’un mécanisme de défense robuste et rapide. C’est le deuxième type de résistance</w:t>
      </w:r>
      <w:r w:rsidR="00C0083C" w:rsidRPr="00E30870">
        <w:rPr>
          <w:rFonts w:asciiTheme="majorBidi" w:eastAsia="TimesNewRomanPSMT" w:hAnsiTheme="majorBidi" w:cstheme="majorBidi"/>
          <w:color w:val="000000" w:themeColor="text1"/>
          <w:sz w:val="24"/>
          <w:szCs w:val="24"/>
        </w:rPr>
        <w:t>,</w:t>
      </w:r>
      <w:r w:rsidRPr="00E30870">
        <w:rPr>
          <w:rFonts w:asciiTheme="majorBidi" w:eastAsia="TimesNewRomanPSMT" w:hAnsiTheme="majorBidi" w:cstheme="majorBidi"/>
          <w:color w:val="000000" w:themeColor="text1"/>
          <w:sz w:val="24"/>
          <w:szCs w:val="24"/>
        </w:rPr>
        <w:t xml:space="preserve"> conn</w:t>
      </w:r>
      <w:r w:rsidR="00C0083C" w:rsidRPr="00E30870">
        <w:rPr>
          <w:rFonts w:asciiTheme="majorBidi" w:eastAsia="TimesNewRomanPSMT" w:hAnsiTheme="majorBidi" w:cstheme="majorBidi"/>
          <w:color w:val="000000" w:themeColor="text1"/>
          <w:sz w:val="24"/>
          <w:szCs w:val="24"/>
        </w:rPr>
        <w:t xml:space="preserve">u sous plusieurs noms, tels que </w:t>
      </w:r>
      <w:r w:rsidRPr="00E30870">
        <w:rPr>
          <w:rFonts w:asciiTheme="majorBidi" w:eastAsia="TimesNewRomanPSMT" w:hAnsiTheme="majorBidi" w:cstheme="majorBidi"/>
          <w:color w:val="000000" w:themeColor="text1"/>
          <w:sz w:val="24"/>
          <w:szCs w:val="24"/>
        </w:rPr>
        <w:t>résista</w:t>
      </w:r>
      <w:r w:rsidR="00C0083C" w:rsidRPr="00E30870">
        <w:rPr>
          <w:rFonts w:asciiTheme="majorBidi" w:eastAsia="TimesNewRomanPSMT" w:hAnsiTheme="majorBidi" w:cstheme="majorBidi"/>
          <w:color w:val="000000" w:themeColor="text1"/>
          <w:sz w:val="24"/>
          <w:szCs w:val="24"/>
        </w:rPr>
        <w:t xml:space="preserve">nce spécifique, résistance hôte </w:t>
      </w:r>
      <w:r w:rsidRPr="00E30870">
        <w:rPr>
          <w:rFonts w:asciiTheme="majorBidi" w:eastAsia="TimesNewRomanPSMT" w:hAnsiTheme="majorBidi" w:cstheme="majorBidi"/>
          <w:color w:val="000000" w:themeColor="text1"/>
          <w:sz w:val="24"/>
          <w:szCs w:val="24"/>
        </w:rPr>
        <w:t xml:space="preserve">ou immunité déclenchée par des effecteurs (ETI pour, </w:t>
      </w:r>
      <w:proofErr w:type="spellStart"/>
      <w:r w:rsidRPr="00E30870">
        <w:rPr>
          <w:rFonts w:asciiTheme="majorBidi" w:eastAsia="TimesNewRomanPSMT" w:hAnsiTheme="majorBidi" w:cstheme="majorBidi"/>
          <w:color w:val="000000" w:themeColor="text1"/>
          <w:sz w:val="24"/>
          <w:szCs w:val="24"/>
        </w:rPr>
        <w:t>effector</w:t>
      </w:r>
      <w:proofErr w:type="spellEnd"/>
      <w:r w:rsidRPr="00E30870">
        <w:rPr>
          <w:rFonts w:asciiTheme="majorBidi" w:eastAsia="TimesNewRomanPSMT" w:hAnsiTheme="majorBidi" w:cstheme="majorBidi"/>
          <w:color w:val="000000" w:themeColor="text1"/>
          <w:sz w:val="24"/>
          <w:szCs w:val="24"/>
        </w:rPr>
        <w:t>-</w:t>
      </w:r>
      <w:proofErr w:type="spellStart"/>
      <w:r w:rsidRPr="00E30870">
        <w:rPr>
          <w:rFonts w:asciiTheme="majorBidi" w:eastAsia="TimesNewRomanPSMT" w:hAnsiTheme="majorBidi" w:cstheme="majorBidi"/>
          <w:color w:val="000000" w:themeColor="text1"/>
          <w:sz w:val="24"/>
          <w:szCs w:val="24"/>
        </w:rPr>
        <w:t>triggered</w:t>
      </w:r>
      <w:proofErr w:type="spellEnd"/>
      <w:r w:rsidRPr="00E30870">
        <w:rPr>
          <w:rFonts w:asciiTheme="majorBidi" w:eastAsia="TimesNewRomanPSMT" w:hAnsiTheme="majorBidi" w:cstheme="majorBidi"/>
          <w:color w:val="000000" w:themeColor="text1"/>
          <w:sz w:val="24"/>
          <w:szCs w:val="24"/>
        </w:rPr>
        <w:t xml:space="preserve"> </w:t>
      </w:r>
      <w:proofErr w:type="spellStart"/>
      <w:r w:rsidRPr="00E30870">
        <w:rPr>
          <w:rFonts w:asciiTheme="majorBidi" w:eastAsia="TimesNewRomanPSMT" w:hAnsiTheme="majorBidi" w:cstheme="majorBidi"/>
          <w:color w:val="000000" w:themeColor="text1"/>
          <w:sz w:val="24"/>
          <w:szCs w:val="24"/>
        </w:rPr>
        <w:t>immunity</w:t>
      </w:r>
      <w:proofErr w:type="spellEnd"/>
      <w:r w:rsidRPr="00E30870">
        <w:rPr>
          <w:rFonts w:asciiTheme="majorBidi" w:eastAsia="TimesNewRomanPSMT" w:hAnsiTheme="majorBidi" w:cstheme="majorBidi"/>
          <w:color w:val="000000" w:themeColor="text1"/>
          <w:sz w:val="24"/>
          <w:szCs w:val="24"/>
        </w:rPr>
        <w:t xml:space="preserve">). Cette résistance est basée sur le concept gène pour gène (Flor, </w:t>
      </w:r>
      <w:r w:rsidRPr="00E30870">
        <w:rPr>
          <w:rFonts w:asciiTheme="majorBidi" w:hAnsiTheme="majorBidi" w:cstheme="majorBidi"/>
          <w:color w:val="000000" w:themeColor="text1"/>
          <w:sz w:val="24"/>
          <w:szCs w:val="24"/>
        </w:rPr>
        <w:t xml:space="preserve">1971). </w:t>
      </w:r>
      <w:r w:rsidRPr="00E30870">
        <w:rPr>
          <w:rFonts w:asciiTheme="majorBidi" w:eastAsia="TimesNewRomanPSMT" w:hAnsiTheme="majorBidi" w:cstheme="majorBidi"/>
          <w:color w:val="000000" w:themeColor="text1"/>
          <w:sz w:val="24"/>
          <w:szCs w:val="24"/>
        </w:rPr>
        <w:t>Le système de résistance serait ainsi déterminé chez la plante par la présence d’un gène de résistance (</w:t>
      </w:r>
      <w:r w:rsidRPr="00E30870">
        <w:rPr>
          <w:rFonts w:asciiTheme="majorBidi" w:eastAsia="TimesNewRomanPSMT" w:hAnsiTheme="majorBidi" w:cstheme="majorBidi"/>
          <w:i/>
          <w:iCs/>
          <w:color w:val="000000" w:themeColor="text1"/>
          <w:sz w:val="24"/>
          <w:szCs w:val="24"/>
        </w:rPr>
        <w:t>gène R</w:t>
      </w:r>
      <w:r w:rsidRPr="00E30870">
        <w:rPr>
          <w:rFonts w:asciiTheme="majorBidi" w:eastAsia="TimesNewRomanPSMT" w:hAnsiTheme="majorBidi" w:cstheme="majorBidi"/>
          <w:color w:val="000000" w:themeColor="text1"/>
          <w:sz w:val="24"/>
          <w:szCs w:val="24"/>
        </w:rPr>
        <w:t>) qui directement ou indirectement, participerait a la reconnaissance du produit d'un gène d’</w:t>
      </w:r>
      <w:proofErr w:type="spellStart"/>
      <w:r w:rsidRPr="00E30870">
        <w:rPr>
          <w:rFonts w:asciiTheme="majorBidi" w:eastAsia="TimesNewRomanPSMT" w:hAnsiTheme="majorBidi" w:cstheme="majorBidi"/>
          <w:color w:val="000000" w:themeColor="text1"/>
          <w:sz w:val="24"/>
          <w:szCs w:val="24"/>
        </w:rPr>
        <w:t>avirulence</w:t>
      </w:r>
      <w:proofErr w:type="spellEnd"/>
      <w:r w:rsidRPr="00E30870">
        <w:rPr>
          <w:rFonts w:asciiTheme="majorBidi" w:eastAsia="TimesNewRomanPSMT" w:hAnsiTheme="majorBidi" w:cstheme="majorBidi"/>
          <w:color w:val="000000" w:themeColor="text1"/>
          <w:sz w:val="24"/>
          <w:szCs w:val="24"/>
        </w:rPr>
        <w:t xml:space="preserve"> (</w:t>
      </w:r>
      <w:proofErr w:type="spellStart"/>
      <w:r w:rsidRPr="00E30870">
        <w:rPr>
          <w:rFonts w:asciiTheme="majorBidi" w:eastAsia="TimesNewRomanPSMT" w:hAnsiTheme="majorBidi" w:cstheme="majorBidi"/>
          <w:color w:val="000000" w:themeColor="text1"/>
          <w:sz w:val="24"/>
          <w:szCs w:val="24"/>
        </w:rPr>
        <w:t>gene</w:t>
      </w:r>
      <w:proofErr w:type="spellEnd"/>
      <w:r w:rsidRPr="00E30870">
        <w:rPr>
          <w:rFonts w:asciiTheme="majorBidi" w:eastAsia="TimesNewRomanPSMT" w:hAnsiTheme="majorBidi" w:cstheme="majorBidi"/>
          <w:color w:val="000000" w:themeColor="text1"/>
          <w:sz w:val="24"/>
          <w:szCs w:val="24"/>
        </w:rPr>
        <w:t xml:space="preserve"> </w:t>
      </w:r>
      <w:proofErr w:type="spellStart"/>
      <w:r w:rsidRPr="00E30870">
        <w:rPr>
          <w:rFonts w:asciiTheme="majorBidi" w:eastAsia="TimesNewRomanPSMT" w:hAnsiTheme="majorBidi" w:cstheme="majorBidi"/>
          <w:i/>
          <w:iCs/>
          <w:color w:val="000000" w:themeColor="text1"/>
          <w:sz w:val="24"/>
          <w:szCs w:val="24"/>
        </w:rPr>
        <w:t>avr</w:t>
      </w:r>
      <w:proofErr w:type="spellEnd"/>
      <w:r w:rsidRPr="00E30870">
        <w:rPr>
          <w:rFonts w:asciiTheme="majorBidi" w:eastAsia="TimesNewRomanPSMT" w:hAnsiTheme="majorBidi" w:cstheme="majorBidi"/>
          <w:color w:val="000000" w:themeColor="text1"/>
          <w:sz w:val="24"/>
          <w:szCs w:val="24"/>
        </w:rPr>
        <w:t xml:space="preserve">) du parasite (Flor, 1971; </w:t>
      </w:r>
      <w:proofErr w:type="spellStart"/>
      <w:r w:rsidRPr="00E30870">
        <w:rPr>
          <w:rFonts w:asciiTheme="majorBidi" w:eastAsia="TimesNewRomanPSMT" w:hAnsiTheme="majorBidi" w:cstheme="majorBidi"/>
          <w:color w:val="000000" w:themeColor="text1"/>
          <w:sz w:val="24"/>
          <w:szCs w:val="24"/>
        </w:rPr>
        <w:t>Vanderplank</w:t>
      </w:r>
      <w:proofErr w:type="spellEnd"/>
      <w:r w:rsidRPr="00E30870">
        <w:rPr>
          <w:rFonts w:asciiTheme="majorBidi" w:eastAsia="TimesNewRomanPSMT" w:hAnsiTheme="majorBidi" w:cstheme="majorBidi"/>
          <w:color w:val="000000" w:themeColor="text1"/>
          <w:sz w:val="24"/>
          <w:szCs w:val="24"/>
        </w:rPr>
        <w:t>, 1984)</w:t>
      </w:r>
      <w:r w:rsidRPr="00E30870">
        <w:rPr>
          <w:rFonts w:asciiTheme="majorBidi" w:eastAsia="TimesNewRomanPSMT" w:hAnsiTheme="majorBidi" w:cstheme="majorBidi"/>
          <w:i/>
          <w:iCs/>
          <w:color w:val="000000" w:themeColor="text1"/>
          <w:sz w:val="24"/>
          <w:szCs w:val="24"/>
        </w:rPr>
        <w:t>.</w:t>
      </w:r>
    </w:p>
    <w:p w:rsidR="00534C26" w:rsidRPr="00E30870" w:rsidRDefault="00534C26" w:rsidP="00D56C9F">
      <w:pPr>
        <w:spacing w:line="360" w:lineRule="auto"/>
        <w:jc w:val="both"/>
        <w:rPr>
          <w:rFonts w:asciiTheme="majorBidi" w:eastAsia="TimesNewRomanPSMT" w:hAnsiTheme="majorBidi" w:cstheme="majorBidi"/>
          <w:i/>
          <w:iCs/>
          <w:color w:val="000000" w:themeColor="text1"/>
          <w:sz w:val="24"/>
          <w:szCs w:val="24"/>
        </w:rPr>
      </w:pPr>
      <w:r w:rsidRPr="00E30870">
        <w:rPr>
          <w:rFonts w:asciiTheme="majorBidi" w:hAnsiTheme="majorBidi" w:cstheme="majorBidi"/>
          <w:color w:val="000000" w:themeColor="text1"/>
          <w:sz w:val="24"/>
          <w:szCs w:val="24"/>
        </w:rPr>
        <w:t xml:space="preserve"> Cette forme de défense est caractérisée par deux types de réponses défensives inductibles qui se succèdent après l´infection initiale. La première, localisée et nommée, réponse hypersensible ou HR. Alors que la seconde est la résistance systémique acquise ou SAR (</w:t>
      </w:r>
      <w:proofErr w:type="spellStart"/>
      <w:r w:rsidRPr="00E30870">
        <w:rPr>
          <w:rFonts w:asciiTheme="majorBidi" w:hAnsiTheme="majorBidi" w:cstheme="majorBidi"/>
          <w:color w:val="000000" w:themeColor="text1"/>
          <w:sz w:val="24"/>
          <w:szCs w:val="24"/>
        </w:rPr>
        <w:t>Adem</w:t>
      </w:r>
      <w:proofErr w:type="spellEnd"/>
      <w:r w:rsidRPr="00E30870">
        <w:rPr>
          <w:rFonts w:asciiTheme="majorBidi" w:hAnsiTheme="majorBidi" w:cstheme="majorBidi"/>
          <w:color w:val="000000" w:themeColor="text1"/>
          <w:sz w:val="24"/>
          <w:szCs w:val="24"/>
        </w:rPr>
        <w:t>, 2008).</w:t>
      </w:r>
      <w:r w:rsidR="00C0083C" w:rsidRPr="00E30870">
        <w:rPr>
          <w:rFonts w:asciiTheme="majorBidi" w:hAnsiTheme="majorBidi" w:cstheme="majorBidi"/>
          <w:color w:val="000000" w:themeColor="text1"/>
          <w:sz w:val="24"/>
          <w:szCs w:val="24"/>
        </w:rPr>
        <w:t xml:space="preserve"> </w:t>
      </w:r>
      <w:r w:rsidRPr="00E30870">
        <w:rPr>
          <w:rFonts w:asciiTheme="majorBidi" w:eastAsia="TimesNewRomanPSMT" w:hAnsiTheme="majorBidi" w:cstheme="majorBidi"/>
          <w:color w:val="000000" w:themeColor="text1"/>
          <w:sz w:val="24"/>
          <w:szCs w:val="24"/>
        </w:rPr>
        <w:t xml:space="preserve">Des événements cellulaires clefs de la HR ont ainsi été identifiés, parmi lesquels la production de formes réactives de l’oxygène (ROS), la modification des flux </w:t>
      </w:r>
      <w:r w:rsidRPr="00E30870">
        <w:rPr>
          <w:rFonts w:asciiTheme="majorBidi" w:eastAsia="TimesNewRomanPSMT" w:hAnsiTheme="majorBidi" w:cstheme="majorBidi"/>
          <w:color w:val="000000" w:themeColor="text1"/>
          <w:sz w:val="24"/>
          <w:szCs w:val="24"/>
        </w:rPr>
        <w:lastRenderedPageBreak/>
        <w:t>ioniques et l’activation de cascades de signalisation via</w:t>
      </w:r>
      <w:r w:rsidRPr="00E30870">
        <w:rPr>
          <w:rFonts w:asciiTheme="majorBidi" w:eastAsia="TimesNewRomanPSMT" w:hAnsiTheme="majorBidi" w:cstheme="majorBidi"/>
          <w:i/>
          <w:iCs/>
          <w:color w:val="000000" w:themeColor="text1"/>
          <w:sz w:val="24"/>
          <w:szCs w:val="24"/>
        </w:rPr>
        <w:t xml:space="preserve"> </w:t>
      </w:r>
      <w:r w:rsidRPr="00E30870">
        <w:rPr>
          <w:rFonts w:asciiTheme="majorBidi" w:eastAsia="TimesNewRomanPSMT" w:hAnsiTheme="majorBidi" w:cstheme="majorBidi"/>
          <w:color w:val="000000" w:themeColor="text1"/>
          <w:sz w:val="24"/>
          <w:szCs w:val="24"/>
        </w:rPr>
        <w:t>des MAP kinases (figure 6), pour aboutir à la fin, à la mort cellulaire et à l'activation de gènes de défense (Heath, 1998</w:t>
      </w:r>
      <w:r w:rsidR="00D56C9F" w:rsidRPr="00E30870">
        <w:rPr>
          <w:rFonts w:asciiTheme="majorBidi" w:eastAsia="TimesNewRomanPSMT" w:hAnsiTheme="majorBidi" w:cstheme="majorBidi"/>
          <w:color w:val="000000" w:themeColor="text1"/>
          <w:sz w:val="24"/>
          <w:szCs w:val="24"/>
        </w:rPr>
        <w:t xml:space="preserve">; 2000). </w:t>
      </w:r>
      <w:r w:rsidRPr="00E30870">
        <w:rPr>
          <w:rFonts w:asciiTheme="majorBidi" w:eastAsia="TimesNewRomanPSMT" w:hAnsiTheme="majorBidi" w:cstheme="majorBidi"/>
          <w:color w:val="000000" w:themeColor="text1"/>
          <w:sz w:val="24"/>
          <w:szCs w:val="24"/>
        </w:rPr>
        <w:t>Plusieurs mécanismes de défense ont été mis en évidence,</w:t>
      </w:r>
      <w:r w:rsidR="00D56C9F" w:rsidRPr="00E30870">
        <w:rPr>
          <w:rFonts w:asciiTheme="majorBidi" w:eastAsia="TimesNewRomanPSMT" w:hAnsiTheme="majorBidi" w:cstheme="majorBidi"/>
          <w:color w:val="000000" w:themeColor="text1"/>
          <w:sz w:val="24"/>
          <w:szCs w:val="24"/>
        </w:rPr>
        <w:t xml:space="preserve"> par ailleurs,</w:t>
      </w:r>
      <w:r w:rsidRPr="00E30870">
        <w:rPr>
          <w:rFonts w:asciiTheme="majorBidi" w:eastAsia="TimesNewRomanPSMT" w:hAnsiTheme="majorBidi" w:cstheme="majorBidi"/>
          <w:color w:val="000000" w:themeColor="text1"/>
          <w:sz w:val="24"/>
          <w:szCs w:val="24"/>
        </w:rPr>
        <w:t xml:space="preserve"> tel le renforcement de la paroi cellulaire (</w:t>
      </w:r>
      <w:proofErr w:type="spellStart"/>
      <w:r w:rsidRPr="00E30870">
        <w:rPr>
          <w:rFonts w:asciiTheme="majorBidi" w:hAnsiTheme="majorBidi" w:cstheme="majorBidi"/>
          <w:color w:val="000000" w:themeColor="text1"/>
          <w:sz w:val="24"/>
          <w:szCs w:val="24"/>
        </w:rPr>
        <w:t>Uma</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et al.,</w:t>
      </w:r>
      <w:r w:rsidRPr="00E30870">
        <w:rPr>
          <w:rFonts w:asciiTheme="majorBidi" w:hAnsiTheme="majorBidi" w:cstheme="majorBidi"/>
          <w:color w:val="000000" w:themeColor="text1"/>
          <w:sz w:val="24"/>
          <w:szCs w:val="24"/>
        </w:rPr>
        <w:t xml:space="preserve"> 2011); la synthèse des </w:t>
      </w:r>
      <w:proofErr w:type="spellStart"/>
      <w:r w:rsidRPr="00E30870">
        <w:rPr>
          <w:rFonts w:asciiTheme="majorBidi" w:hAnsiTheme="majorBidi" w:cstheme="majorBidi"/>
          <w:color w:val="000000" w:themeColor="text1"/>
          <w:sz w:val="24"/>
          <w:szCs w:val="24"/>
        </w:rPr>
        <w:t>phytoalexines</w:t>
      </w:r>
      <w:proofErr w:type="spellEnd"/>
      <w:r w:rsidRPr="00E30870">
        <w:rPr>
          <w:rFonts w:asciiTheme="majorBidi" w:hAnsiTheme="majorBidi" w:cstheme="majorBidi"/>
          <w:color w:val="000000" w:themeColor="text1"/>
          <w:sz w:val="24"/>
          <w:szCs w:val="24"/>
        </w:rPr>
        <w:t xml:space="preserve"> antimicrobiens (</w:t>
      </w:r>
      <w:proofErr w:type="spellStart"/>
      <w:r w:rsidRPr="00E30870">
        <w:rPr>
          <w:rFonts w:asciiTheme="majorBidi" w:eastAsia="TimesNewRomanPSMT" w:hAnsiTheme="majorBidi" w:cstheme="majorBidi"/>
          <w:color w:val="000000" w:themeColor="text1"/>
          <w:sz w:val="24"/>
          <w:szCs w:val="24"/>
        </w:rPr>
        <w:t>Jwa</w:t>
      </w:r>
      <w:proofErr w:type="spellEnd"/>
      <w:r w:rsidRPr="00E30870">
        <w:rPr>
          <w:rFonts w:asciiTheme="majorBidi" w:eastAsia="TimesNewRomanPSMT" w:hAnsiTheme="majorBidi" w:cstheme="majorBidi"/>
          <w:color w:val="000000" w:themeColor="text1"/>
          <w:sz w:val="24"/>
          <w:szCs w:val="24"/>
        </w:rPr>
        <w:t xml:space="preserve"> </w:t>
      </w:r>
      <w:r w:rsidRPr="00E30870">
        <w:rPr>
          <w:rFonts w:asciiTheme="majorBidi" w:eastAsia="TimesNewRomanPSMT" w:hAnsiTheme="majorBidi" w:cstheme="majorBidi"/>
          <w:i/>
          <w:iCs/>
          <w:color w:val="000000" w:themeColor="text1"/>
          <w:sz w:val="24"/>
          <w:szCs w:val="24"/>
        </w:rPr>
        <w:t>et al</w:t>
      </w:r>
      <w:r w:rsidRPr="00E30870">
        <w:rPr>
          <w:rFonts w:asciiTheme="majorBidi" w:eastAsia="TimesNewRomanPSMT" w:hAnsiTheme="majorBidi" w:cstheme="majorBidi"/>
          <w:color w:val="000000" w:themeColor="text1"/>
          <w:sz w:val="24"/>
          <w:szCs w:val="24"/>
        </w:rPr>
        <w:t>., 2006); la synthèse des protéines PR (</w:t>
      </w:r>
      <w:proofErr w:type="spellStart"/>
      <w:r w:rsidRPr="00E30870">
        <w:rPr>
          <w:rFonts w:asciiTheme="majorBidi" w:eastAsia="TimesNewRomanPSMT" w:hAnsiTheme="majorBidi" w:cstheme="majorBidi"/>
          <w:color w:val="000000" w:themeColor="text1"/>
          <w:sz w:val="24"/>
          <w:szCs w:val="24"/>
        </w:rPr>
        <w:t>pathogenesis</w:t>
      </w:r>
      <w:proofErr w:type="spellEnd"/>
      <w:r w:rsidRPr="00E30870">
        <w:rPr>
          <w:rFonts w:asciiTheme="majorBidi" w:eastAsia="TimesNewRomanPSMT" w:hAnsiTheme="majorBidi" w:cstheme="majorBidi"/>
          <w:color w:val="000000" w:themeColor="text1"/>
          <w:sz w:val="24"/>
          <w:szCs w:val="24"/>
        </w:rPr>
        <w:t xml:space="preserve"> </w:t>
      </w:r>
      <w:proofErr w:type="spellStart"/>
      <w:r w:rsidRPr="00E30870">
        <w:rPr>
          <w:rFonts w:asciiTheme="majorBidi" w:eastAsia="TimesNewRomanPSMT" w:hAnsiTheme="majorBidi" w:cstheme="majorBidi"/>
          <w:color w:val="000000" w:themeColor="text1"/>
          <w:sz w:val="24"/>
          <w:szCs w:val="24"/>
        </w:rPr>
        <w:t>related</w:t>
      </w:r>
      <w:proofErr w:type="spellEnd"/>
      <w:r w:rsidRPr="00E30870">
        <w:rPr>
          <w:rFonts w:asciiTheme="majorBidi" w:eastAsia="TimesNewRomanPSMT" w:hAnsiTheme="majorBidi" w:cstheme="majorBidi"/>
          <w:color w:val="000000" w:themeColor="text1"/>
          <w:sz w:val="24"/>
          <w:szCs w:val="24"/>
        </w:rPr>
        <w:t xml:space="preserve"> </w:t>
      </w:r>
      <w:proofErr w:type="spellStart"/>
      <w:r w:rsidRPr="00E30870">
        <w:rPr>
          <w:rFonts w:asciiTheme="majorBidi" w:eastAsia="TimesNewRomanPSMT" w:hAnsiTheme="majorBidi" w:cstheme="majorBidi"/>
          <w:color w:val="000000" w:themeColor="text1"/>
          <w:sz w:val="24"/>
          <w:szCs w:val="24"/>
        </w:rPr>
        <w:t>proteins</w:t>
      </w:r>
      <w:proofErr w:type="spellEnd"/>
      <w:r w:rsidRPr="00E30870">
        <w:rPr>
          <w:rFonts w:asciiTheme="majorBidi" w:eastAsia="TimesNewRomanPSMT" w:hAnsiTheme="majorBidi" w:cstheme="majorBidi"/>
          <w:color w:val="000000" w:themeColor="text1"/>
          <w:sz w:val="24"/>
          <w:szCs w:val="24"/>
        </w:rPr>
        <w:t xml:space="preserve">) ayant une activité hydrolytique, comme </w:t>
      </w:r>
      <w:r w:rsidR="00D56C9F" w:rsidRPr="00E30870">
        <w:rPr>
          <w:rFonts w:asciiTheme="majorBidi" w:hAnsiTheme="majorBidi" w:cstheme="majorBidi"/>
          <w:color w:val="000000" w:themeColor="text1"/>
          <w:sz w:val="24"/>
          <w:szCs w:val="24"/>
        </w:rPr>
        <w:t>les 1,3-</w:t>
      </w:r>
      <w:proofErr w:type="spellStart"/>
      <w:r w:rsidRPr="00E30870">
        <w:rPr>
          <w:rFonts w:asciiTheme="majorBidi" w:hAnsiTheme="majorBidi" w:cstheme="majorBidi"/>
          <w:color w:val="000000" w:themeColor="text1"/>
          <w:sz w:val="24"/>
          <w:szCs w:val="24"/>
        </w:rPr>
        <w:t>glucanases</w:t>
      </w:r>
      <w:proofErr w:type="spellEnd"/>
      <w:r w:rsidRPr="00E30870">
        <w:rPr>
          <w:rFonts w:asciiTheme="majorBidi" w:hAnsiTheme="majorBidi" w:cstheme="majorBidi"/>
          <w:color w:val="000000" w:themeColor="text1"/>
          <w:sz w:val="24"/>
          <w:szCs w:val="24"/>
        </w:rPr>
        <w:t xml:space="preserve"> (PR-2); les </w:t>
      </w:r>
      <w:proofErr w:type="spellStart"/>
      <w:r w:rsidRPr="00E30870">
        <w:rPr>
          <w:rFonts w:asciiTheme="majorBidi" w:hAnsiTheme="majorBidi" w:cstheme="majorBidi"/>
          <w:color w:val="000000" w:themeColor="text1"/>
          <w:sz w:val="24"/>
          <w:szCs w:val="24"/>
        </w:rPr>
        <w:t>chitinases</w:t>
      </w:r>
      <w:proofErr w:type="spellEnd"/>
      <w:r w:rsidRPr="00E30870">
        <w:rPr>
          <w:rFonts w:asciiTheme="majorBidi" w:hAnsiTheme="majorBidi" w:cstheme="majorBidi"/>
          <w:color w:val="000000" w:themeColor="text1"/>
          <w:sz w:val="24"/>
          <w:szCs w:val="24"/>
        </w:rPr>
        <w:t xml:space="preserve"> (PR3,</w:t>
      </w:r>
      <w:r w:rsidR="00D56C9F" w:rsidRPr="00E30870">
        <w:rPr>
          <w:rFonts w:asciiTheme="majorBidi" w:hAnsiTheme="majorBidi" w:cstheme="majorBidi"/>
          <w:color w:val="000000" w:themeColor="text1"/>
          <w:sz w:val="24"/>
          <w:szCs w:val="24"/>
        </w:rPr>
        <w:t xml:space="preserve"> 4, 8 et 11); les </w:t>
      </w:r>
      <w:proofErr w:type="spellStart"/>
      <w:r w:rsidR="00D56C9F" w:rsidRPr="00E30870">
        <w:rPr>
          <w:rFonts w:asciiTheme="majorBidi" w:hAnsiTheme="majorBidi" w:cstheme="majorBidi"/>
          <w:color w:val="000000" w:themeColor="text1"/>
          <w:sz w:val="24"/>
          <w:szCs w:val="24"/>
        </w:rPr>
        <w:t>endoprotéases</w:t>
      </w:r>
      <w:proofErr w:type="spellEnd"/>
      <w:r w:rsidR="00D56C9F" w:rsidRPr="00E30870">
        <w:rPr>
          <w:rFonts w:asciiTheme="majorBidi" w:hAnsiTheme="majorBidi" w:cstheme="majorBidi"/>
          <w:color w:val="000000" w:themeColor="text1"/>
          <w:sz w:val="24"/>
          <w:szCs w:val="24"/>
        </w:rPr>
        <w:t xml:space="preserve"> </w:t>
      </w:r>
      <w:r w:rsidRPr="00E30870">
        <w:rPr>
          <w:rFonts w:asciiTheme="majorBidi" w:hAnsiTheme="majorBidi" w:cstheme="majorBidi"/>
          <w:color w:val="000000" w:themeColor="text1"/>
          <w:sz w:val="24"/>
          <w:szCs w:val="24"/>
        </w:rPr>
        <w:t xml:space="preserve">(PR7); les </w:t>
      </w:r>
      <w:proofErr w:type="spellStart"/>
      <w:r w:rsidRPr="00E30870">
        <w:rPr>
          <w:rFonts w:asciiTheme="majorBidi" w:hAnsiTheme="majorBidi" w:cstheme="majorBidi"/>
          <w:color w:val="000000" w:themeColor="text1"/>
          <w:sz w:val="24"/>
          <w:szCs w:val="24"/>
        </w:rPr>
        <w:t>défensine</w:t>
      </w:r>
      <w:proofErr w:type="spellEnd"/>
      <w:r w:rsidRPr="00E30870">
        <w:rPr>
          <w:rFonts w:asciiTheme="majorBidi" w:hAnsiTheme="majorBidi" w:cstheme="majorBidi"/>
          <w:color w:val="000000" w:themeColor="text1"/>
          <w:sz w:val="24"/>
          <w:szCs w:val="24"/>
        </w:rPr>
        <w:t xml:space="preserve"> (PR-12); les thionines (PR-13) et certaines protéines de transfert de lipides (PR-14), ayant à la fois des propriétés antimicrobiennes et antifongiques (Sels </w:t>
      </w:r>
      <w:r w:rsidRPr="00E30870">
        <w:rPr>
          <w:rFonts w:asciiTheme="majorBidi" w:hAnsiTheme="majorBidi" w:cstheme="majorBidi"/>
          <w:i/>
          <w:iCs/>
          <w:color w:val="000000" w:themeColor="text1"/>
          <w:sz w:val="24"/>
          <w:szCs w:val="24"/>
        </w:rPr>
        <w:t>et al.,</w:t>
      </w:r>
      <w:r w:rsidRPr="00E30870">
        <w:rPr>
          <w:rFonts w:asciiTheme="majorBidi" w:hAnsiTheme="majorBidi" w:cstheme="majorBidi"/>
          <w:color w:val="000000" w:themeColor="text1"/>
          <w:sz w:val="24"/>
          <w:szCs w:val="24"/>
        </w:rPr>
        <w:t xml:space="preserve"> 2008).</w:t>
      </w:r>
      <w:r w:rsidRPr="00E30870">
        <w:rPr>
          <w:rFonts w:asciiTheme="majorBidi" w:eastAsia="TimesNewRomanPSMT" w:hAnsiTheme="majorBidi" w:cstheme="majorBidi"/>
          <w:color w:val="000000" w:themeColor="text1"/>
          <w:sz w:val="24"/>
          <w:szCs w:val="24"/>
        </w:rPr>
        <w:t xml:space="preserve"> Récemment, le rôle des  phytohormones dans le réseau de signalisation des réactions de défense des plantes a été mis en évidence (figure 6). Plusieurs familles d’hormones ont été étudiées, tel l’acide salicylique, l’acide </w:t>
      </w:r>
      <w:proofErr w:type="spellStart"/>
      <w:r w:rsidRPr="00E30870">
        <w:rPr>
          <w:rFonts w:asciiTheme="majorBidi" w:eastAsia="TimesNewRomanPSMT" w:hAnsiTheme="majorBidi" w:cstheme="majorBidi"/>
          <w:color w:val="000000" w:themeColor="text1"/>
          <w:sz w:val="24"/>
          <w:szCs w:val="24"/>
        </w:rPr>
        <w:t>jasmonique</w:t>
      </w:r>
      <w:proofErr w:type="spellEnd"/>
      <w:r w:rsidRPr="00E30870">
        <w:rPr>
          <w:rFonts w:asciiTheme="majorBidi" w:eastAsia="TimesNewRomanPSMT" w:hAnsiTheme="majorBidi" w:cstheme="majorBidi"/>
          <w:color w:val="000000" w:themeColor="text1"/>
          <w:sz w:val="24"/>
          <w:szCs w:val="24"/>
        </w:rPr>
        <w:t xml:space="preserve">, l’éthylène, l’acide </w:t>
      </w:r>
      <w:proofErr w:type="spellStart"/>
      <w:r w:rsidRPr="00E30870">
        <w:rPr>
          <w:rFonts w:asciiTheme="majorBidi" w:eastAsia="TimesNewRomanPSMT" w:hAnsiTheme="majorBidi" w:cstheme="majorBidi"/>
          <w:color w:val="000000" w:themeColor="text1"/>
          <w:sz w:val="24"/>
          <w:szCs w:val="24"/>
        </w:rPr>
        <w:t>abscissique</w:t>
      </w:r>
      <w:proofErr w:type="spellEnd"/>
      <w:r w:rsidRPr="00E30870">
        <w:rPr>
          <w:rFonts w:asciiTheme="majorBidi" w:eastAsia="TimesNewRomanPSMT" w:hAnsiTheme="majorBidi" w:cstheme="majorBidi"/>
          <w:color w:val="000000" w:themeColor="text1"/>
          <w:sz w:val="24"/>
          <w:szCs w:val="24"/>
        </w:rPr>
        <w:t xml:space="preserve">, l’auxine, l’acide </w:t>
      </w:r>
      <w:proofErr w:type="spellStart"/>
      <w:r w:rsidRPr="00E30870">
        <w:rPr>
          <w:rFonts w:asciiTheme="majorBidi" w:eastAsia="TimesNewRomanPSMT" w:hAnsiTheme="majorBidi" w:cstheme="majorBidi"/>
          <w:color w:val="000000" w:themeColor="text1"/>
          <w:sz w:val="24"/>
          <w:szCs w:val="24"/>
        </w:rPr>
        <w:t>gibberilique</w:t>
      </w:r>
      <w:proofErr w:type="spellEnd"/>
      <w:r w:rsidRPr="00E30870">
        <w:rPr>
          <w:rFonts w:asciiTheme="majorBidi" w:eastAsia="TimesNewRomanPSMT" w:hAnsiTheme="majorBidi" w:cstheme="majorBidi"/>
          <w:color w:val="000000" w:themeColor="text1"/>
          <w:sz w:val="24"/>
          <w:szCs w:val="24"/>
        </w:rPr>
        <w:t xml:space="preserve">, la </w:t>
      </w:r>
      <w:proofErr w:type="spellStart"/>
      <w:r w:rsidRPr="00E30870">
        <w:rPr>
          <w:rFonts w:asciiTheme="majorBidi" w:eastAsia="TimesNewRomanPSMT" w:hAnsiTheme="majorBidi" w:cstheme="majorBidi"/>
          <w:color w:val="000000" w:themeColor="text1"/>
          <w:sz w:val="24"/>
          <w:szCs w:val="24"/>
        </w:rPr>
        <w:t>cytokinine</w:t>
      </w:r>
      <w:proofErr w:type="spellEnd"/>
      <w:r w:rsidRPr="00E30870">
        <w:rPr>
          <w:rFonts w:asciiTheme="majorBidi" w:eastAsia="TimesNewRomanPSMT" w:hAnsiTheme="majorBidi" w:cstheme="majorBidi"/>
          <w:color w:val="000000" w:themeColor="text1"/>
          <w:sz w:val="24"/>
          <w:szCs w:val="24"/>
        </w:rPr>
        <w:t xml:space="preserve">, les </w:t>
      </w:r>
      <w:proofErr w:type="spellStart"/>
      <w:r w:rsidRPr="00E30870">
        <w:rPr>
          <w:rFonts w:asciiTheme="majorBidi" w:eastAsia="TimesNewRomanPSMT" w:hAnsiTheme="majorBidi" w:cstheme="majorBidi"/>
          <w:color w:val="000000" w:themeColor="text1"/>
          <w:sz w:val="24"/>
          <w:szCs w:val="24"/>
        </w:rPr>
        <w:t>brassinosteroides</w:t>
      </w:r>
      <w:proofErr w:type="spellEnd"/>
      <w:r w:rsidRPr="00E30870">
        <w:rPr>
          <w:rFonts w:asciiTheme="majorBidi" w:eastAsia="TimesNewRomanPSMT" w:hAnsiTheme="majorBidi" w:cstheme="majorBidi"/>
          <w:color w:val="000000" w:themeColor="text1"/>
          <w:sz w:val="24"/>
          <w:szCs w:val="24"/>
        </w:rPr>
        <w:t xml:space="preserve"> et les hormones peptidiques (Bari et Jones, 2009). </w:t>
      </w:r>
    </w:p>
    <w:p w:rsidR="00534C26" w:rsidRPr="00E30870" w:rsidRDefault="00534C26" w:rsidP="00534C26">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534C26" w:rsidRPr="00E30870" w:rsidRDefault="00F83B7D" w:rsidP="002749C4">
      <w:pPr>
        <w:autoSpaceDE w:val="0"/>
        <w:autoSpaceDN w:val="0"/>
        <w:adjustRightInd w:val="0"/>
        <w:spacing w:after="0" w:line="360" w:lineRule="auto"/>
        <w:jc w:val="center"/>
        <w:rPr>
          <w:rFonts w:asciiTheme="majorBidi" w:hAnsiTheme="majorBidi" w:cstheme="majorBidi"/>
          <w:b/>
          <w:bCs/>
          <w:color w:val="000000" w:themeColor="text1"/>
          <w:sz w:val="24"/>
          <w:szCs w:val="24"/>
        </w:rPr>
      </w:pPr>
      <w:r>
        <w:rPr>
          <w:rFonts w:asciiTheme="majorBidi" w:hAnsiTheme="majorBidi" w:cstheme="majorBidi"/>
          <w:b/>
          <w:bCs/>
          <w:noProof/>
          <w:color w:val="000000" w:themeColor="text1"/>
          <w:sz w:val="24"/>
          <w:szCs w:val="24"/>
        </w:rPr>
        <w:pict>
          <v:shape id="_x0000_s1031" type="#_x0000_t202" style="position:absolute;left:0;text-align:left;margin-left:28.2pt;margin-top:274.5pt;width:416.75pt;height:61.65pt;z-index:251665408;mso-width-relative:margin;mso-height-relative:margin" stroked="f">
            <v:textbox style="mso-next-textbox:#_x0000_s1031">
              <w:txbxContent>
                <w:p w:rsidR="00534C26" w:rsidRPr="00E043DB" w:rsidRDefault="00534C26" w:rsidP="00534C26">
                  <w:pPr>
                    <w:jc w:val="both"/>
                    <w:rPr>
                      <w:rFonts w:asciiTheme="majorBidi" w:hAnsiTheme="majorBidi" w:cstheme="majorBidi"/>
                    </w:rPr>
                  </w:pPr>
                  <w:r w:rsidRPr="00E043DB">
                    <w:rPr>
                      <w:rFonts w:asciiTheme="majorBidi" w:hAnsiTheme="majorBidi" w:cstheme="majorBidi"/>
                      <w:b/>
                      <w:bCs/>
                    </w:rPr>
                    <w:t>Figure</w:t>
                  </w:r>
                  <w:r>
                    <w:rPr>
                      <w:rFonts w:asciiTheme="majorBidi" w:hAnsiTheme="majorBidi" w:cstheme="majorBidi"/>
                      <w:b/>
                      <w:bCs/>
                    </w:rPr>
                    <w:t xml:space="preserve"> 6</w:t>
                  </w:r>
                  <w:r w:rsidRPr="00E043DB">
                    <w:rPr>
                      <w:rFonts w:asciiTheme="majorBidi" w:hAnsiTheme="majorBidi" w:cstheme="majorBidi"/>
                    </w:rPr>
                    <w:t xml:space="preserve"> Schéma général des différents mécanismes de défense chez la plante, de la perception des </w:t>
                  </w:r>
                  <w:proofErr w:type="spellStart"/>
                  <w:r w:rsidRPr="00E043DB">
                    <w:rPr>
                      <w:rFonts w:asciiTheme="majorBidi" w:hAnsiTheme="majorBidi" w:cstheme="majorBidi"/>
                    </w:rPr>
                    <w:t>éliciteurs</w:t>
                  </w:r>
                  <w:proofErr w:type="spellEnd"/>
                  <w:r w:rsidRPr="00E043DB">
                    <w:rPr>
                      <w:rFonts w:asciiTheme="majorBidi" w:hAnsiTheme="majorBidi" w:cstheme="majorBidi"/>
                    </w:rPr>
                    <w:t xml:space="preserve"> du pathogène à l’activation des facteurs de transcription des gè</w:t>
                  </w:r>
                  <w:r>
                    <w:rPr>
                      <w:rFonts w:asciiTheme="majorBidi" w:hAnsiTheme="majorBidi" w:cstheme="majorBidi"/>
                    </w:rPr>
                    <w:t xml:space="preserve">nes de résistance de la plante. </w:t>
                  </w:r>
                  <w:r w:rsidRPr="00E043DB">
                    <w:rPr>
                      <w:rFonts w:asciiTheme="majorBidi" w:hAnsiTheme="majorBidi" w:cstheme="majorBidi"/>
                    </w:rPr>
                    <w:t>Source</w:t>
                  </w:r>
                  <w:r>
                    <w:rPr>
                      <w:rFonts w:asciiTheme="majorBidi" w:hAnsiTheme="majorBidi" w:cstheme="majorBidi"/>
                    </w:rPr>
                    <w:t>:</w:t>
                  </w:r>
                  <w:r w:rsidRPr="00E043DB">
                    <w:rPr>
                      <w:rFonts w:asciiTheme="majorBidi" w:hAnsiTheme="majorBidi" w:cstheme="majorBidi"/>
                    </w:rPr>
                    <w:t xml:space="preserve"> </w:t>
                  </w:r>
                  <w:proofErr w:type="spellStart"/>
                  <w:r w:rsidRPr="00E043DB">
                    <w:rPr>
                      <w:rFonts w:asciiTheme="majorBidi" w:hAnsiTheme="majorBidi" w:cstheme="majorBidi"/>
                    </w:rPr>
                    <w:t>Delaggi</w:t>
                  </w:r>
                  <w:proofErr w:type="spellEnd"/>
                  <w:r w:rsidRPr="00E043DB">
                    <w:rPr>
                      <w:rFonts w:asciiTheme="majorBidi" w:hAnsiTheme="majorBidi" w:cstheme="majorBidi"/>
                    </w:rPr>
                    <w:t>, 200</w:t>
                  </w:r>
                  <w:r>
                    <w:rPr>
                      <w:rFonts w:asciiTheme="majorBidi" w:eastAsia="TimesNewRomanPSMT" w:hAnsiTheme="majorBidi" w:cstheme="majorBidi"/>
                    </w:rPr>
                    <w:t>9</w:t>
                  </w:r>
                  <w:r w:rsidRPr="00E043DB">
                    <w:rPr>
                      <w:rFonts w:asciiTheme="majorBidi" w:eastAsia="TimesNewRomanPSMT" w:hAnsiTheme="majorBidi" w:cstheme="majorBidi"/>
                    </w:rPr>
                    <w:t>.</w:t>
                  </w:r>
                  <w:r w:rsidRPr="00E043DB">
                    <w:rPr>
                      <w:rFonts w:asciiTheme="majorBidi" w:hAnsiTheme="majorBidi" w:cstheme="majorBidi"/>
                    </w:rPr>
                    <w:t xml:space="preserve"> </w:t>
                  </w:r>
                </w:p>
              </w:txbxContent>
            </v:textbox>
          </v:shape>
        </w:pict>
      </w:r>
      <w:r w:rsidR="00534C26" w:rsidRPr="00E30870">
        <w:rPr>
          <w:rFonts w:asciiTheme="majorBidi" w:hAnsiTheme="majorBidi" w:cstheme="majorBidi"/>
          <w:b/>
          <w:bCs/>
          <w:noProof/>
          <w:color w:val="000000" w:themeColor="text1"/>
          <w:sz w:val="24"/>
          <w:szCs w:val="24"/>
          <w:lang w:eastAsia="fr-FR"/>
        </w:rPr>
        <w:drawing>
          <wp:inline distT="0" distB="0" distL="0" distR="0">
            <wp:extent cx="5459534" cy="3435363"/>
            <wp:effectExtent l="19050" t="0" r="7816"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l="17077" t="13877" r="7748" b="5286"/>
                    <a:stretch>
                      <a:fillRect/>
                    </a:stretch>
                  </pic:blipFill>
                  <pic:spPr bwMode="auto">
                    <a:xfrm>
                      <a:off x="0" y="0"/>
                      <a:ext cx="5480451" cy="3448525"/>
                    </a:xfrm>
                    <a:prstGeom prst="rect">
                      <a:avLst/>
                    </a:prstGeom>
                    <a:noFill/>
                    <a:ln w="9525">
                      <a:noFill/>
                      <a:miter lim="800000"/>
                      <a:headEnd/>
                      <a:tailEnd/>
                    </a:ln>
                  </pic:spPr>
                </pic:pic>
              </a:graphicData>
            </a:graphic>
          </wp:inline>
        </w:drawing>
      </w:r>
    </w:p>
    <w:p w:rsidR="00534C26" w:rsidRPr="00E30870" w:rsidRDefault="00534C26" w:rsidP="00534C26">
      <w:pPr>
        <w:autoSpaceDE w:val="0"/>
        <w:autoSpaceDN w:val="0"/>
        <w:adjustRightInd w:val="0"/>
        <w:spacing w:after="0" w:line="360" w:lineRule="auto"/>
        <w:ind w:firstLine="708"/>
        <w:jc w:val="both"/>
        <w:rPr>
          <w:rFonts w:asciiTheme="majorBidi" w:hAnsiTheme="majorBidi" w:cstheme="majorBidi"/>
          <w:color w:val="000000" w:themeColor="text1"/>
          <w:sz w:val="24"/>
          <w:szCs w:val="24"/>
        </w:rPr>
      </w:pPr>
    </w:p>
    <w:p w:rsidR="00534C26" w:rsidRPr="00E30870" w:rsidRDefault="00534C26" w:rsidP="00534C26">
      <w:pPr>
        <w:autoSpaceDE w:val="0"/>
        <w:autoSpaceDN w:val="0"/>
        <w:adjustRightInd w:val="0"/>
        <w:spacing w:after="0" w:line="360" w:lineRule="auto"/>
        <w:ind w:firstLine="708"/>
        <w:jc w:val="both"/>
        <w:rPr>
          <w:rFonts w:asciiTheme="majorBidi" w:hAnsiTheme="majorBidi" w:cstheme="majorBidi"/>
          <w:color w:val="000000" w:themeColor="text1"/>
          <w:sz w:val="24"/>
          <w:szCs w:val="24"/>
        </w:rPr>
      </w:pPr>
    </w:p>
    <w:p w:rsidR="00534C26" w:rsidRPr="00E30870" w:rsidRDefault="00534C26" w:rsidP="00534C26">
      <w:pPr>
        <w:autoSpaceDE w:val="0"/>
        <w:autoSpaceDN w:val="0"/>
        <w:adjustRightInd w:val="0"/>
        <w:spacing w:after="0" w:line="360" w:lineRule="auto"/>
        <w:ind w:firstLine="708"/>
        <w:jc w:val="both"/>
        <w:rPr>
          <w:rFonts w:asciiTheme="majorBidi" w:hAnsiTheme="majorBidi" w:cstheme="majorBidi"/>
          <w:color w:val="000000" w:themeColor="text1"/>
          <w:sz w:val="24"/>
          <w:szCs w:val="24"/>
        </w:rPr>
      </w:pPr>
    </w:p>
    <w:p w:rsidR="00DF1391" w:rsidRDefault="00DF1391" w:rsidP="0060254A">
      <w:pPr>
        <w:autoSpaceDE w:val="0"/>
        <w:autoSpaceDN w:val="0"/>
        <w:adjustRightInd w:val="0"/>
        <w:spacing w:after="0" w:line="360" w:lineRule="auto"/>
        <w:jc w:val="both"/>
        <w:rPr>
          <w:rFonts w:asciiTheme="majorBidi" w:hAnsiTheme="majorBidi" w:cstheme="majorBidi"/>
          <w:color w:val="000000" w:themeColor="text1"/>
          <w:sz w:val="24"/>
          <w:szCs w:val="24"/>
        </w:rPr>
      </w:pPr>
    </w:p>
    <w:p w:rsidR="00DF1391" w:rsidRDefault="00DF1391" w:rsidP="0060254A">
      <w:pPr>
        <w:autoSpaceDE w:val="0"/>
        <w:autoSpaceDN w:val="0"/>
        <w:adjustRightInd w:val="0"/>
        <w:spacing w:after="0" w:line="360" w:lineRule="auto"/>
        <w:jc w:val="both"/>
        <w:rPr>
          <w:rFonts w:asciiTheme="majorBidi" w:hAnsiTheme="majorBidi" w:cstheme="majorBidi"/>
          <w:color w:val="000000" w:themeColor="text1"/>
          <w:sz w:val="24"/>
          <w:szCs w:val="24"/>
        </w:rPr>
      </w:pPr>
    </w:p>
    <w:p w:rsidR="00534C26" w:rsidRPr="00E30870" w:rsidRDefault="00534C26" w:rsidP="0060254A">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lastRenderedPageBreak/>
        <w:t xml:space="preserve">La résistance systémique acquise (SAR pour </w:t>
      </w:r>
      <w:proofErr w:type="spellStart"/>
      <w:r w:rsidRPr="00E30870">
        <w:rPr>
          <w:rFonts w:asciiTheme="majorBidi" w:hAnsiTheme="majorBidi" w:cstheme="majorBidi"/>
          <w:color w:val="000000" w:themeColor="text1"/>
          <w:sz w:val="24"/>
          <w:szCs w:val="24"/>
        </w:rPr>
        <w:t>systemic</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acquired</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resistance</w:t>
      </w:r>
      <w:proofErr w:type="spellEnd"/>
      <w:r w:rsidRPr="00E30870">
        <w:rPr>
          <w:rFonts w:asciiTheme="majorBidi" w:hAnsiTheme="majorBidi" w:cstheme="majorBidi"/>
          <w:color w:val="000000" w:themeColor="text1"/>
          <w:sz w:val="24"/>
          <w:szCs w:val="24"/>
        </w:rPr>
        <w:t xml:space="preserve">) se manifeste par la mobilisation des mécanismes de défense à la plante entière. Plus de </w:t>
      </w:r>
      <w:r w:rsidRPr="00E30870">
        <w:rPr>
          <w:rFonts w:asciiTheme="majorBidi" w:eastAsia="TimesNewRomanPSMT" w:hAnsiTheme="majorBidi" w:cstheme="majorBidi"/>
          <w:color w:val="000000" w:themeColor="text1"/>
          <w:sz w:val="24"/>
          <w:szCs w:val="24"/>
        </w:rPr>
        <w:t>60% d'acide salicylique mesuré dans les zones non infectées de la plante provenait du transport d'acide salicylique initialement synthétisé au niveau des zones infectées (</w:t>
      </w:r>
      <w:proofErr w:type="spellStart"/>
      <w:r w:rsidRPr="00E30870">
        <w:rPr>
          <w:rFonts w:asciiTheme="majorBidi" w:eastAsia="TimesNewRomanPSMT" w:hAnsiTheme="majorBidi" w:cstheme="majorBidi"/>
          <w:color w:val="000000" w:themeColor="text1"/>
          <w:sz w:val="24"/>
          <w:szCs w:val="24"/>
        </w:rPr>
        <w:t>Shulaev</w:t>
      </w:r>
      <w:proofErr w:type="spellEnd"/>
      <w:r w:rsidRPr="00E30870">
        <w:rPr>
          <w:rFonts w:asciiTheme="majorBidi" w:eastAsia="TimesNewRomanPSMT" w:hAnsiTheme="majorBidi" w:cstheme="majorBidi"/>
          <w:color w:val="000000" w:themeColor="text1"/>
          <w:sz w:val="24"/>
          <w:szCs w:val="24"/>
        </w:rPr>
        <w:t xml:space="preserve"> </w:t>
      </w:r>
      <w:r w:rsidRPr="00E30870">
        <w:rPr>
          <w:rFonts w:asciiTheme="majorBidi" w:eastAsia="TimesNewRomanPSMT" w:hAnsiTheme="majorBidi" w:cstheme="majorBidi"/>
          <w:i/>
          <w:iCs/>
          <w:color w:val="000000" w:themeColor="text1"/>
          <w:sz w:val="24"/>
          <w:szCs w:val="24"/>
        </w:rPr>
        <w:t xml:space="preserve">et </w:t>
      </w:r>
      <w:proofErr w:type="gramStart"/>
      <w:r w:rsidRPr="00E30870">
        <w:rPr>
          <w:rFonts w:asciiTheme="majorBidi" w:eastAsia="TimesNewRomanPSMT" w:hAnsiTheme="majorBidi" w:cstheme="majorBidi"/>
          <w:i/>
          <w:iCs/>
          <w:color w:val="000000" w:themeColor="text1"/>
          <w:sz w:val="24"/>
          <w:szCs w:val="24"/>
        </w:rPr>
        <w:t>al</w:t>
      </w:r>
      <w:r w:rsidRPr="00E30870">
        <w:rPr>
          <w:rFonts w:asciiTheme="majorBidi" w:eastAsia="TimesNewRomanPSMT" w:hAnsiTheme="majorBidi" w:cstheme="majorBidi"/>
          <w:color w:val="000000" w:themeColor="text1"/>
          <w:sz w:val="24"/>
          <w:szCs w:val="24"/>
        </w:rPr>
        <w:t>.,</w:t>
      </w:r>
      <w:proofErr w:type="gramEnd"/>
      <w:r w:rsidRPr="00E30870">
        <w:rPr>
          <w:rFonts w:asciiTheme="majorBidi" w:eastAsia="TimesNewRomanPSMT" w:hAnsiTheme="majorBidi" w:cstheme="majorBidi"/>
          <w:color w:val="000000" w:themeColor="text1"/>
          <w:sz w:val="24"/>
          <w:szCs w:val="24"/>
        </w:rPr>
        <w:t xml:space="preserve"> 1997). Park </w:t>
      </w:r>
      <w:r w:rsidRPr="00E30870">
        <w:rPr>
          <w:rFonts w:asciiTheme="majorBidi" w:eastAsia="TimesNewRomanPSMT" w:hAnsiTheme="majorBidi" w:cstheme="majorBidi"/>
          <w:i/>
          <w:iCs/>
          <w:color w:val="000000" w:themeColor="text1"/>
          <w:sz w:val="24"/>
          <w:szCs w:val="24"/>
        </w:rPr>
        <w:t>et al</w:t>
      </w:r>
      <w:r w:rsidRPr="00E30870">
        <w:rPr>
          <w:rFonts w:asciiTheme="majorBidi" w:eastAsia="TimesNewRomanPSMT" w:hAnsiTheme="majorBidi" w:cstheme="majorBidi"/>
          <w:color w:val="000000" w:themeColor="text1"/>
          <w:sz w:val="24"/>
          <w:szCs w:val="24"/>
        </w:rPr>
        <w:t xml:space="preserve">. (2007) ont confirmé que le </w:t>
      </w:r>
      <w:proofErr w:type="spellStart"/>
      <w:r w:rsidRPr="00E30870">
        <w:rPr>
          <w:rFonts w:asciiTheme="majorBidi" w:eastAsia="TimesNewRomanPSMT" w:hAnsiTheme="majorBidi" w:cstheme="majorBidi"/>
          <w:color w:val="000000" w:themeColor="text1"/>
          <w:sz w:val="24"/>
          <w:szCs w:val="24"/>
        </w:rPr>
        <w:t>methyl</w:t>
      </w:r>
      <w:proofErr w:type="spellEnd"/>
      <w:r w:rsidRPr="00E30870">
        <w:rPr>
          <w:rFonts w:asciiTheme="majorBidi" w:eastAsia="TimesNewRomanPSMT" w:hAnsiTheme="majorBidi" w:cstheme="majorBidi"/>
          <w:color w:val="000000" w:themeColor="text1"/>
          <w:sz w:val="24"/>
          <w:szCs w:val="24"/>
        </w:rPr>
        <w:t xml:space="preserve"> salicy</w:t>
      </w:r>
      <w:r w:rsidR="00131D93" w:rsidRPr="00E30870">
        <w:rPr>
          <w:rFonts w:asciiTheme="majorBidi" w:eastAsia="TimesNewRomanPSMT" w:hAnsiTheme="majorBidi" w:cstheme="majorBidi"/>
          <w:color w:val="000000" w:themeColor="text1"/>
          <w:sz w:val="24"/>
          <w:szCs w:val="24"/>
        </w:rPr>
        <w:t>late (</w:t>
      </w:r>
      <w:proofErr w:type="spellStart"/>
      <w:r w:rsidR="00131D93" w:rsidRPr="00E30870">
        <w:rPr>
          <w:rFonts w:asciiTheme="majorBidi" w:eastAsia="TimesNewRomanPSMT" w:hAnsiTheme="majorBidi" w:cstheme="majorBidi"/>
          <w:color w:val="000000" w:themeColor="text1"/>
          <w:sz w:val="24"/>
          <w:szCs w:val="24"/>
        </w:rPr>
        <w:t>MeSA</w:t>
      </w:r>
      <w:proofErr w:type="spellEnd"/>
      <w:r w:rsidR="00131D93" w:rsidRPr="00E30870">
        <w:rPr>
          <w:rFonts w:asciiTheme="majorBidi" w:eastAsia="TimesNewRomanPSMT" w:hAnsiTheme="majorBidi" w:cstheme="majorBidi"/>
          <w:color w:val="000000" w:themeColor="text1"/>
          <w:sz w:val="24"/>
          <w:szCs w:val="24"/>
        </w:rPr>
        <w:t>), un composé volatil</w:t>
      </w:r>
      <w:r w:rsidRPr="00E30870">
        <w:rPr>
          <w:rFonts w:asciiTheme="majorBidi" w:eastAsia="TimesNewRomanPSMT" w:hAnsiTheme="majorBidi" w:cstheme="majorBidi"/>
          <w:color w:val="000000" w:themeColor="text1"/>
          <w:sz w:val="24"/>
          <w:szCs w:val="24"/>
        </w:rPr>
        <w:t xml:space="preserve"> induit la résistance systémique acquise par voie aérienne ou encore après transport par le phloème. Contrairement à la SAR </w:t>
      </w:r>
      <w:r w:rsidR="0060254A" w:rsidRPr="00E30870">
        <w:rPr>
          <w:rFonts w:asciiTheme="majorBidi" w:eastAsia="TimesNewRomanPSMT" w:hAnsiTheme="majorBidi" w:cstheme="majorBidi"/>
          <w:color w:val="000000" w:themeColor="text1"/>
          <w:sz w:val="24"/>
          <w:szCs w:val="24"/>
        </w:rPr>
        <w:t>déclenchée</w:t>
      </w:r>
      <w:r w:rsidRPr="00E30870">
        <w:rPr>
          <w:rFonts w:asciiTheme="majorBidi" w:eastAsia="TimesNewRomanPSMT" w:hAnsiTheme="majorBidi" w:cstheme="majorBidi"/>
          <w:color w:val="000000" w:themeColor="text1"/>
          <w:sz w:val="24"/>
          <w:szCs w:val="24"/>
        </w:rPr>
        <w:t xml:space="preserve"> par des agents pathogènes, la résistance systémique induite (</w:t>
      </w:r>
      <w:proofErr w:type="spellStart"/>
      <w:r w:rsidRPr="00E30870">
        <w:rPr>
          <w:rFonts w:asciiTheme="majorBidi" w:eastAsia="TimesNewRomanPSMT" w:hAnsiTheme="majorBidi" w:cstheme="majorBidi"/>
          <w:color w:val="000000" w:themeColor="text1"/>
          <w:sz w:val="24"/>
          <w:szCs w:val="24"/>
        </w:rPr>
        <w:t>induced</w:t>
      </w:r>
      <w:proofErr w:type="spellEnd"/>
      <w:r w:rsidRPr="00E30870">
        <w:rPr>
          <w:rFonts w:asciiTheme="majorBidi" w:eastAsia="TimesNewRomanPSMT" w:hAnsiTheme="majorBidi" w:cstheme="majorBidi"/>
          <w:color w:val="000000" w:themeColor="text1"/>
          <w:sz w:val="24"/>
          <w:szCs w:val="24"/>
        </w:rPr>
        <w:t xml:space="preserve"> </w:t>
      </w:r>
      <w:proofErr w:type="spellStart"/>
      <w:r w:rsidRPr="00E30870">
        <w:rPr>
          <w:rFonts w:asciiTheme="majorBidi" w:eastAsia="TimesNewRomanPSMT" w:hAnsiTheme="majorBidi" w:cstheme="majorBidi"/>
          <w:color w:val="000000" w:themeColor="text1"/>
          <w:sz w:val="24"/>
          <w:szCs w:val="24"/>
        </w:rPr>
        <w:t>systemic</w:t>
      </w:r>
      <w:proofErr w:type="spellEnd"/>
      <w:r w:rsidRPr="00E30870">
        <w:rPr>
          <w:rFonts w:asciiTheme="majorBidi" w:eastAsia="TimesNewRomanPSMT" w:hAnsiTheme="majorBidi" w:cstheme="majorBidi"/>
          <w:color w:val="000000" w:themeColor="text1"/>
          <w:sz w:val="24"/>
          <w:szCs w:val="24"/>
        </w:rPr>
        <w:t xml:space="preserve"> </w:t>
      </w:r>
      <w:proofErr w:type="spellStart"/>
      <w:r w:rsidRPr="00E30870">
        <w:rPr>
          <w:rFonts w:asciiTheme="majorBidi" w:eastAsia="TimesNewRomanPSMT" w:hAnsiTheme="majorBidi" w:cstheme="majorBidi"/>
          <w:color w:val="000000" w:themeColor="text1"/>
          <w:sz w:val="24"/>
          <w:szCs w:val="24"/>
        </w:rPr>
        <w:t>resistance</w:t>
      </w:r>
      <w:proofErr w:type="spellEnd"/>
      <w:r w:rsidRPr="00E30870">
        <w:rPr>
          <w:rFonts w:asciiTheme="majorBidi" w:eastAsia="TimesNewRomanPSMT" w:hAnsiTheme="majorBidi" w:cstheme="majorBidi"/>
          <w:color w:val="000000" w:themeColor="text1"/>
          <w:sz w:val="24"/>
          <w:szCs w:val="24"/>
        </w:rPr>
        <w:t xml:space="preserve">, ISR) </w:t>
      </w:r>
      <w:r w:rsidRPr="00E30870">
        <w:rPr>
          <w:rFonts w:asciiTheme="majorBidi" w:hAnsiTheme="majorBidi" w:cstheme="majorBidi"/>
          <w:color w:val="000000" w:themeColor="text1"/>
          <w:sz w:val="24"/>
          <w:szCs w:val="24"/>
        </w:rPr>
        <w:t xml:space="preserve">est stimulée par certaines </w:t>
      </w:r>
      <w:proofErr w:type="spellStart"/>
      <w:r w:rsidRPr="00E30870">
        <w:rPr>
          <w:rFonts w:asciiTheme="majorBidi" w:hAnsiTheme="majorBidi" w:cstheme="majorBidi"/>
          <w:color w:val="000000" w:themeColor="text1"/>
          <w:sz w:val="24"/>
          <w:szCs w:val="24"/>
        </w:rPr>
        <w:t>rhizobactéries</w:t>
      </w:r>
      <w:proofErr w:type="spellEnd"/>
      <w:r w:rsidRPr="00E30870">
        <w:rPr>
          <w:rFonts w:asciiTheme="majorBidi" w:hAnsiTheme="majorBidi" w:cstheme="majorBidi"/>
          <w:color w:val="000000" w:themeColor="text1"/>
          <w:sz w:val="24"/>
          <w:szCs w:val="24"/>
        </w:rPr>
        <w:t xml:space="preserve"> non-pathogènes (plant </w:t>
      </w:r>
      <w:proofErr w:type="spellStart"/>
      <w:r w:rsidRPr="00E30870">
        <w:rPr>
          <w:rFonts w:asciiTheme="majorBidi" w:hAnsiTheme="majorBidi" w:cstheme="majorBidi"/>
          <w:color w:val="000000" w:themeColor="text1"/>
          <w:sz w:val="24"/>
          <w:szCs w:val="24"/>
        </w:rPr>
        <w:t>growth</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promoting</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rhizobacteria</w:t>
      </w:r>
      <w:proofErr w:type="spellEnd"/>
      <w:r w:rsidRPr="00E30870">
        <w:rPr>
          <w:rFonts w:asciiTheme="majorBidi" w:hAnsiTheme="majorBidi" w:cstheme="majorBidi"/>
          <w:color w:val="000000" w:themeColor="text1"/>
          <w:sz w:val="24"/>
          <w:szCs w:val="24"/>
        </w:rPr>
        <w:t xml:space="preserve">, PGPR) (Van </w:t>
      </w:r>
      <w:proofErr w:type="spellStart"/>
      <w:r w:rsidRPr="00E30870">
        <w:rPr>
          <w:rFonts w:asciiTheme="majorBidi" w:hAnsiTheme="majorBidi" w:cstheme="majorBidi"/>
          <w:color w:val="000000" w:themeColor="text1"/>
          <w:sz w:val="24"/>
          <w:szCs w:val="24"/>
        </w:rPr>
        <w:t>Loon</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1998).</w:t>
      </w:r>
      <w:r w:rsidRPr="00E30870">
        <w:rPr>
          <w:rFonts w:asciiTheme="majorBidi" w:eastAsia="TimesNewRomanPSMT" w:hAnsiTheme="majorBidi" w:cstheme="majorBidi"/>
          <w:color w:val="000000" w:themeColor="text1"/>
          <w:sz w:val="24"/>
          <w:szCs w:val="24"/>
        </w:rPr>
        <w:t xml:space="preserve"> L’ISR n’est pas associée à l’accumulation du SA ni a l’activation de protéines PR (</w:t>
      </w:r>
      <w:proofErr w:type="spellStart"/>
      <w:r w:rsidRPr="00E30870">
        <w:rPr>
          <w:rFonts w:asciiTheme="majorBidi" w:eastAsia="TimesNewRomanPSMT" w:hAnsiTheme="majorBidi" w:cstheme="majorBidi"/>
          <w:color w:val="000000" w:themeColor="text1"/>
          <w:sz w:val="24"/>
          <w:szCs w:val="24"/>
        </w:rPr>
        <w:t>Pieterse</w:t>
      </w:r>
      <w:proofErr w:type="spellEnd"/>
      <w:r w:rsidRPr="00E30870">
        <w:rPr>
          <w:rFonts w:asciiTheme="majorBidi" w:eastAsia="TimesNewRomanPSMT" w:hAnsiTheme="majorBidi" w:cstheme="majorBidi"/>
          <w:color w:val="000000" w:themeColor="text1"/>
          <w:sz w:val="24"/>
          <w:szCs w:val="24"/>
        </w:rPr>
        <w:t xml:space="preserve"> </w:t>
      </w:r>
      <w:r w:rsidRPr="00E30870">
        <w:rPr>
          <w:rFonts w:asciiTheme="majorBidi" w:eastAsia="TimesNewRomanPSMT" w:hAnsiTheme="majorBidi" w:cstheme="majorBidi"/>
          <w:i/>
          <w:iCs/>
          <w:color w:val="000000" w:themeColor="text1"/>
          <w:sz w:val="24"/>
          <w:szCs w:val="24"/>
        </w:rPr>
        <w:t xml:space="preserve">et </w:t>
      </w:r>
      <w:proofErr w:type="gramStart"/>
      <w:r w:rsidRPr="00E30870">
        <w:rPr>
          <w:rFonts w:asciiTheme="majorBidi" w:eastAsia="TimesNewRomanPSMT" w:hAnsiTheme="majorBidi" w:cstheme="majorBidi"/>
          <w:i/>
          <w:iCs/>
          <w:color w:val="000000" w:themeColor="text1"/>
          <w:sz w:val="24"/>
          <w:szCs w:val="24"/>
        </w:rPr>
        <w:t>al</w:t>
      </w:r>
      <w:r w:rsidRPr="00E30870">
        <w:rPr>
          <w:rFonts w:asciiTheme="majorBidi" w:eastAsia="TimesNewRomanPSMT" w:hAnsiTheme="majorBidi" w:cstheme="majorBidi"/>
          <w:color w:val="000000" w:themeColor="text1"/>
          <w:sz w:val="24"/>
          <w:szCs w:val="24"/>
        </w:rPr>
        <w:t>.,</w:t>
      </w:r>
      <w:proofErr w:type="gramEnd"/>
      <w:r w:rsidRPr="00E30870">
        <w:rPr>
          <w:rFonts w:asciiTheme="majorBidi" w:eastAsia="TimesNewRomanPSMT" w:hAnsiTheme="majorBidi" w:cstheme="majorBidi"/>
          <w:color w:val="000000" w:themeColor="text1"/>
          <w:sz w:val="24"/>
          <w:szCs w:val="24"/>
        </w:rPr>
        <w:t xml:space="preserve"> 2001). En revanche, cette résistance contrôlée semble être dépendante de l’acide </w:t>
      </w:r>
      <w:proofErr w:type="spellStart"/>
      <w:r w:rsidRPr="00E30870">
        <w:rPr>
          <w:rFonts w:asciiTheme="majorBidi" w:eastAsia="TimesNewRomanPSMT" w:hAnsiTheme="majorBidi" w:cstheme="majorBidi"/>
          <w:color w:val="000000" w:themeColor="text1"/>
          <w:sz w:val="24"/>
          <w:szCs w:val="24"/>
        </w:rPr>
        <w:t>jasmonique</w:t>
      </w:r>
      <w:proofErr w:type="spellEnd"/>
      <w:r w:rsidRPr="00E30870">
        <w:rPr>
          <w:rFonts w:asciiTheme="majorBidi" w:eastAsia="TimesNewRomanPSMT" w:hAnsiTheme="majorBidi" w:cstheme="majorBidi"/>
          <w:color w:val="000000" w:themeColor="text1"/>
          <w:sz w:val="24"/>
          <w:szCs w:val="24"/>
        </w:rPr>
        <w:t xml:space="preserve"> et de l’éthylène (</w:t>
      </w:r>
      <w:proofErr w:type="spellStart"/>
      <w:r w:rsidRPr="00E30870">
        <w:rPr>
          <w:rFonts w:asciiTheme="majorBidi" w:eastAsia="TimesNewRomanPSMT" w:hAnsiTheme="majorBidi" w:cstheme="majorBidi"/>
          <w:color w:val="000000" w:themeColor="text1"/>
          <w:sz w:val="24"/>
          <w:szCs w:val="24"/>
        </w:rPr>
        <w:t>Beckers</w:t>
      </w:r>
      <w:proofErr w:type="spellEnd"/>
      <w:r w:rsidRPr="00E30870">
        <w:rPr>
          <w:rFonts w:asciiTheme="majorBidi" w:eastAsia="TimesNewRomanPSMT" w:hAnsiTheme="majorBidi" w:cstheme="majorBidi"/>
          <w:color w:val="000000" w:themeColor="text1"/>
          <w:sz w:val="24"/>
          <w:szCs w:val="24"/>
        </w:rPr>
        <w:t xml:space="preserve"> et </w:t>
      </w:r>
      <w:proofErr w:type="spellStart"/>
      <w:r w:rsidRPr="00E30870">
        <w:rPr>
          <w:rFonts w:asciiTheme="majorBidi" w:eastAsia="TimesNewRomanPSMT" w:hAnsiTheme="majorBidi" w:cstheme="majorBidi"/>
          <w:color w:val="000000" w:themeColor="text1"/>
          <w:sz w:val="24"/>
          <w:szCs w:val="24"/>
        </w:rPr>
        <w:t>Conrath</w:t>
      </w:r>
      <w:proofErr w:type="spellEnd"/>
      <w:r w:rsidRPr="00E30870">
        <w:rPr>
          <w:rFonts w:asciiTheme="majorBidi" w:eastAsia="TimesNewRomanPSMT" w:hAnsiTheme="majorBidi" w:cstheme="majorBidi"/>
          <w:color w:val="000000" w:themeColor="text1"/>
          <w:sz w:val="24"/>
          <w:szCs w:val="24"/>
        </w:rPr>
        <w:t>, 2007).</w:t>
      </w:r>
    </w:p>
    <w:p w:rsidR="00134575" w:rsidRPr="00E30870" w:rsidRDefault="00134575" w:rsidP="00534C26">
      <w:pPr>
        <w:autoSpaceDE w:val="0"/>
        <w:autoSpaceDN w:val="0"/>
        <w:adjustRightInd w:val="0"/>
        <w:spacing w:after="0" w:line="360" w:lineRule="auto"/>
        <w:jc w:val="both"/>
        <w:rPr>
          <w:rFonts w:asciiTheme="majorBidi" w:eastAsia="TimesNewRomanPSMT" w:hAnsiTheme="majorBidi" w:cstheme="majorBidi"/>
          <w:color w:val="000000" w:themeColor="text1"/>
          <w:sz w:val="24"/>
          <w:szCs w:val="24"/>
        </w:rPr>
      </w:pPr>
    </w:p>
    <w:p w:rsidR="00534C26" w:rsidRPr="00E30870" w:rsidRDefault="00DB1047" w:rsidP="00DB1047">
      <w:pPr>
        <w:autoSpaceDE w:val="0"/>
        <w:autoSpaceDN w:val="0"/>
        <w:adjustRightInd w:val="0"/>
        <w:spacing w:after="0" w:line="360" w:lineRule="auto"/>
        <w:jc w:val="both"/>
        <w:rPr>
          <w:rFonts w:asciiTheme="majorBidi" w:hAnsiTheme="majorBidi" w:cstheme="majorBidi"/>
          <w:b/>
          <w:bCs/>
          <w:color w:val="000000" w:themeColor="text1"/>
          <w:sz w:val="28"/>
          <w:szCs w:val="28"/>
        </w:rPr>
      </w:pPr>
      <w:r w:rsidRPr="00E30870">
        <w:rPr>
          <w:rFonts w:asciiTheme="majorBidi" w:hAnsiTheme="majorBidi" w:cstheme="majorBidi"/>
          <w:b/>
          <w:bCs/>
          <w:color w:val="000000" w:themeColor="text1"/>
          <w:sz w:val="28"/>
          <w:szCs w:val="28"/>
        </w:rPr>
        <w:t xml:space="preserve">2.7- </w:t>
      </w:r>
      <w:r w:rsidR="00534C26" w:rsidRPr="00E30870">
        <w:rPr>
          <w:rFonts w:asciiTheme="majorBidi" w:hAnsiTheme="majorBidi" w:cstheme="majorBidi"/>
          <w:b/>
          <w:bCs/>
          <w:color w:val="000000" w:themeColor="text1"/>
          <w:sz w:val="28"/>
          <w:szCs w:val="28"/>
        </w:rPr>
        <w:t>Biopesticides et alimentation bio…</w:t>
      </w:r>
    </w:p>
    <w:p w:rsidR="00534C26" w:rsidRPr="00E30870" w:rsidRDefault="00DB1047" w:rsidP="00DB1047">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E30870">
        <w:rPr>
          <w:rFonts w:asciiTheme="majorBidi" w:hAnsiTheme="majorBidi" w:cstheme="majorBidi"/>
          <w:b/>
          <w:bCs/>
          <w:color w:val="000000" w:themeColor="text1"/>
          <w:sz w:val="24"/>
          <w:szCs w:val="24"/>
        </w:rPr>
        <w:t xml:space="preserve">2.7.1- </w:t>
      </w:r>
      <w:r w:rsidR="00534C26" w:rsidRPr="00E30870">
        <w:rPr>
          <w:rFonts w:asciiTheme="majorBidi" w:hAnsiTheme="majorBidi" w:cstheme="majorBidi"/>
          <w:b/>
          <w:bCs/>
          <w:color w:val="000000" w:themeColor="text1"/>
          <w:sz w:val="24"/>
          <w:szCs w:val="24"/>
        </w:rPr>
        <w:t>Les biopesticides</w:t>
      </w:r>
    </w:p>
    <w:p w:rsidR="00DB1047" w:rsidRPr="00E30870" w:rsidRDefault="00DB1047" w:rsidP="00DB1047">
      <w:pPr>
        <w:autoSpaceDE w:val="0"/>
        <w:autoSpaceDN w:val="0"/>
        <w:adjustRightInd w:val="0"/>
        <w:spacing w:after="0" w:line="360" w:lineRule="auto"/>
        <w:jc w:val="both"/>
        <w:rPr>
          <w:rStyle w:val="CitationHTML"/>
          <w:rFonts w:asciiTheme="majorBidi" w:hAnsiTheme="majorBidi" w:cstheme="majorBidi"/>
          <w:i w:val="0"/>
          <w:iCs w:val="0"/>
          <w:color w:val="000000" w:themeColor="text1"/>
          <w:sz w:val="24"/>
          <w:szCs w:val="24"/>
        </w:rPr>
      </w:pPr>
      <w:r w:rsidRPr="00E30870">
        <w:rPr>
          <w:rFonts w:asciiTheme="majorBidi" w:hAnsiTheme="majorBidi" w:cstheme="majorBidi"/>
          <w:i/>
          <w:iCs/>
          <w:color w:val="000000" w:themeColor="text1"/>
          <w:sz w:val="24"/>
          <w:szCs w:val="24"/>
        </w:rPr>
        <w:t>2.7.1.1-</w:t>
      </w:r>
      <w:r w:rsidR="00534C26" w:rsidRPr="00E30870">
        <w:rPr>
          <w:rStyle w:val="CitationHTML"/>
          <w:rFonts w:asciiTheme="majorBidi" w:hAnsiTheme="majorBidi" w:cstheme="majorBidi"/>
          <w:color w:val="000000" w:themeColor="text1"/>
          <w:sz w:val="24"/>
          <w:szCs w:val="24"/>
        </w:rPr>
        <w:t>Définition et classification</w:t>
      </w:r>
    </w:p>
    <w:p w:rsidR="00534C26" w:rsidRPr="00E30870" w:rsidRDefault="00534C26" w:rsidP="00DB1047">
      <w:pPr>
        <w:autoSpaceDE w:val="0"/>
        <w:autoSpaceDN w:val="0"/>
        <w:adjustRightInd w:val="0"/>
        <w:spacing w:after="0" w:line="360" w:lineRule="auto"/>
        <w:jc w:val="both"/>
        <w:rPr>
          <w:rFonts w:asciiTheme="majorBidi" w:hAnsiTheme="majorBidi" w:cstheme="majorBidi"/>
          <w:color w:val="0D0D0D" w:themeColor="text1" w:themeTint="F2"/>
          <w:sz w:val="24"/>
          <w:szCs w:val="24"/>
        </w:rPr>
      </w:pPr>
      <w:r w:rsidRPr="00E30870">
        <w:rPr>
          <w:rStyle w:val="CitationHTML"/>
          <w:rFonts w:asciiTheme="majorBidi" w:hAnsiTheme="majorBidi" w:cstheme="majorBidi"/>
          <w:i w:val="0"/>
          <w:iCs w:val="0"/>
          <w:color w:val="0D0D0D" w:themeColor="text1" w:themeTint="F2"/>
          <w:sz w:val="24"/>
          <w:szCs w:val="24"/>
        </w:rPr>
        <w:t xml:space="preserve">Comme montré ci dessus, l’agriculture durable et la lutte intégrée ont été adoptées comme alternatives à la révolution verte qui a provoqué des dégâts environnementaux et socioéconomiques énormes. Contrairement à l’agriculture intégrée, l’agriculture biologique exclut l’utilisation des produits phytosanitaire chimiques et possède </w:t>
      </w:r>
      <w:r w:rsidRPr="00E30870">
        <w:rPr>
          <w:rFonts w:asciiTheme="majorBidi" w:hAnsiTheme="majorBidi" w:cstheme="majorBidi"/>
          <w:color w:val="0D0D0D" w:themeColor="text1" w:themeTint="F2"/>
          <w:sz w:val="24"/>
          <w:szCs w:val="24"/>
        </w:rPr>
        <w:t>un cahier de charges officiel</w:t>
      </w:r>
      <w:r w:rsidRPr="00E30870">
        <w:rPr>
          <w:rStyle w:val="CitationHTML"/>
          <w:rFonts w:asciiTheme="majorBidi" w:hAnsiTheme="majorBidi" w:cstheme="majorBidi"/>
          <w:i w:val="0"/>
          <w:iCs w:val="0"/>
          <w:color w:val="0D0D0D" w:themeColor="text1" w:themeTint="F2"/>
          <w:sz w:val="24"/>
          <w:szCs w:val="24"/>
        </w:rPr>
        <w:t xml:space="preserve">. Dans ce type d’agriculture on utilise des produits </w:t>
      </w:r>
      <w:r w:rsidR="00ED1FE8" w:rsidRPr="00E30870">
        <w:rPr>
          <w:rStyle w:val="CitationHTML"/>
          <w:rFonts w:asciiTheme="majorBidi" w:hAnsiTheme="majorBidi" w:cstheme="majorBidi"/>
          <w:i w:val="0"/>
          <w:iCs w:val="0"/>
          <w:color w:val="0D0D0D" w:themeColor="text1" w:themeTint="F2"/>
          <w:sz w:val="24"/>
          <w:szCs w:val="24"/>
        </w:rPr>
        <w:t>phytosanitaires naturels dits «Biopesticides</w:t>
      </w:r>
      <w:r w:rsidRPr="00E30870">
        <w:rPr>
          <w:rStyle w:val="CitationHTML"/>
          <w:rFonts w:asciiTheme="majorBidi" w:hAnsiTheme="majorBidi" w:cstheme="majorBidi"/>
          <w:i w:val="0"/>
          <w:iCs w:val="0"/>
          <w:color w:val="0D0D0D" w:themeColor="text1" w:themeTint="F2"/>
          <w:sz w:val="24"/>
          <w:szCs w:val="24"/>
        </w:rPr>
        <w:t>» (COLEACP, 2011). Les biopesticides sont classés selon</w:t>
      </w:r>
      <w:r w:rsidRPr="00E30870">
        <w:rPr>
          <w:rFonts w:asciiTheme="majorBidi" w:hAnsiTheme="majorBidi" w:cstheme="majorBidi"/>
          <w:color w:val="0D0D0D" w:themeColor="text1" w:themeTint="F2"/>
          <w:sz w:val="24"/>
          <w:szCs w:val="24"/>
        </w:rPr>
        <w:t xml:space="preserve"> l’Agence de réglementation de lutte antiparasitaire du </w:t>
      </w:r>
      <w:proofErr w:type="spellStart"/>
      <w:r w:rsidRPr="00E30870">
        <w:rPr>
          <w:rFonts w:asciiTheme="majorBidi" w:hAnsiTheme="majorBidi" w:cstheme="majorBidi"/>
          <w:color w:val="0D0D0D" w:themeColor="text1" w:themeTint="F2"/>
          <w:sz w:val="24"/>
          <w:szCs w:val="24"/>
        </w:rPr>
        <w:t>Quebec</w:t>
      </w:r>
      <w:proofErr w:type="spellEnd"/>
      <w:r w:rsidRPr="00E30870">
        <w:rPr>
          <w:rStyle w:val="CitationHTML"/>
          <w:rFonts w:asciiTheme="majorBidi" w:hAnsiTheme="majorBidi" w:cstheme="majorBidi"/>
          <w:i w:val="0"/>
          <w:iCs w:val="0"/>
          <w:color w:val="0D0D0D" w:themeColor="text1" w:themeTint="F2"/>
          <w:sz w:val="24"/>
          <w:szCs w:val="24"/>
        </w:rPr>
        <w:t xml:space="preserve"> (ARLA), </w:t>
      </w:r>
      <w:proofErr w:type="spellStart"/>
      <w:r w:rsidRPr="00E30870">
        <w:rPr>
          <w:rFonts w:asciiTheme="majorBidi" w:hAnsiTheme="majorBidi" w:cstheme="majorBidi"/>
          <w:color w:val="0D0D0D" w:themeColor="text1" w:themeTint="F2"/>
          <w:sz w:val="24"/>
          <w:szCs w:val="24"/>
        </w:rPr>
        <w:t>Biopesticides</w:t>
      </w:r>
      <w:proofErr w:type="spellEnd"/>
      <w:r w:rsidRPr="00E30870">
        <w:rPr>
          <w:rFonts w:asciiTheme="majorBidi" w:hAnsiTheme="majorBidi" w:cstheme="majorBidi"/>
          <w:color w:val="0D0D0D" w:themeColor="text1" w:themeTint="F2"/>
          <w:sz w:val="24"/>
          <w:szCs w:val="24"/>
        </w:rPr>
        <w:t xml:space="preserve"> </w:t>
      </w:r>
      <w:proofErr w:type="spellStart"/>
      <w:r w:rsidRPr="00E30870">
        <w:rPr>
          <w:rFonts w:asciiTheme="majorBidi" w:hAnsiTheme="majorBidi" w:cstheme="majorBidi"/>
          <w:color w:val="0D0D0D" w:themeColor="text1" w:themeTint="F2"/>
          <w:sz w:val="24"/>
          <w:szCs w:val="24"/>
        </w:rPr>
        <w:t>Industry</w:t>
      </w:r>
      <w:proofErr w:type="spellEnd"/>
      <w:r w:rsidRPr="00E30870">
        <w:rPr>
          <w:rFonts w:asciiTheme="majorBidi" w:hAnsiTheme="majorBidi" w:cstheme="majorBidi"/>
          <w:color w:val="0D0D0D" w:themeColor="text1" w:themeTint="F2"/>
          <w:sz w:val="24"/>
          <w:szCs w:val="24"/>
        </w:rPr>
        <w:t xml:space="preserve"> Alliance (BPIA)</w:t>
      </w:r>
      <w:r w:rsidRPr="00E30870">
        <w:rPr>
          <w:rFonts w:asciiTheme="majorBidi" w:hAnsiTheme="majorBidi" w:cstheme="majorBidi"/>
          <w:i/>
          <w:iCs/>
          <w:color w:val="0D0D0D" w:themeColor="text1" w:themeTint="F2"/>
          <w:sz w:val="24"/>
          <w:szCs w:val="24"/>
        </w:rPr>
        <w:t xml:space="preserve"> </w:t>
      </w:r>
      <w:r w:rsidRPr="00E30870">
        <w:rPr>
          <w:rFonts w:asciiTheme="majorBidi" w:hAnsiTheme="majorBidi" w:cstheme="majorBidi"/>
          <w:color w:val="0D0D0D" w:themeColor="text1" w:themeTint="F2"/>
          <w:sz w:val="24"/>
          <w:szCs w:val="24"/>
        </w:rPr>
        <w:t xml:space="preserve">et </w:t>
      </w:r>
      <w:proofErr w:type="spellStart"/>
      <w:r w:rsidRPr="00E30870">
        <w:rPr>
          <w:rFonts w:asciiTheme="majorBidi" w:hAnsiTheme="majorBidi" w:cstheme="majorBidi"/>
          <w:color w:val="0D0D0D" w:themeColor="text1" w:themeTint="F2"/>
          <w:sz w:val="24"/>
          <w:szCs w:val="24"/>
        </w:rPr>
        <w:t>Environmental</w:t>
      </w:r>
      <w:proofErr w:type="spellEnd"/>
      <w:r w:rsidRPr="00E30870">
        <w:rPr>
          <w:rFonts w:asciiTheme="majorBidi" w:hAnsiTheme="majorBidi" w:cstheme="majorBidi"/>
          <w:color w:val="0D0D0D" w:themeColor="text1" w:themeTint="F2"/>
          <w:sz w:val="24"/>
          <w:szCs w:val="24"/>
        </w:rPr>
        <w:t xml:space="preserve"> Protection </w:t>
      </w:r>
      <w:proofErr w:type="spellStart"/>
      <w:r w:rsidRPr="00E30870">
        <w:rPr>
          <w:rFonts w:asciiTheme="majorBidi" w:hAnsiTheme="majorBidi" w:cstheme="majorBidi"/>
          <w:color w:val="0D0D0D" w:themeColor="text1" w:themeTint="F2"/>
          <w:sz w:val="24"/>
          <w:szCs w:val="24"/>
        </w:rPr>
        <w:t>Agency</w:t>
      </w:r>
      <w:proofErr w:type="spellEnd"/>
      <w:r w:rsidRPr="00E30870">
        <w:rPr>
          <w:rFonts w:asciiTheme="majorBidi" w:hAnsiTheme="majorBidi" w:cstheme="majorBidi"/>
          <w:color w:val="0D0D0D" w:themeColor="text1" w:themeTint="F2"/>
          <w:sz w:val="24"/>
          <w:szCs w:val="24"/>
        </w:rPr>
        <w:t xml:space="preserve"> des États-Unis (EPA), en</w:t>
      </w:r>
      <w:r w:rsidR="00EF7E44" w:rsidRPr="00E30870">
        <w:rPr>
          <w:rFonts w:asciiTheme="majorBidi" w:hAnsiTheme="majorBidi" w:cstheme="majorBidi"/>
          <w:color w:val="0D0D0D" w:themeColor="text1" w:themeTint="F2"/>
          <w:sz w:val="24"/>
          <w:szCs w:val="24"/>
        </w:rPr>
        <w:t xml:space="preserve"> plusieurs catégories, à savoir</w:t>
      </w:r>
      <w:r w:rsidRPr="00E30870">
        <w:rPr>
          <w:rFonts w:asciiTheme="majorBidi" w:hAnsiTheme="majorBidi" w:cstheme="majorBidi"/>
          <w:color w:val="0D0D0D" w:themeColor="text1" w:themeTint="F2"/>
          <w:sz w:val="24"/>
          <w:szCs w:val="24"/>
        </w:rPr>
        <w:t>:</w:t>
      </w:r>
    </w:p>
    <w:p w:rsidR="00534C26" w:rsidRPr="00E30870" w:rsidRDefault="00534C26" w:rsidP="00534C26">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eastAsia="Times New Roman" w:hAnsiTheme="majorBidi" w:cstheme="majorBidi"/>
          <w:b/>
          <w:bCs/>
          <w:color w:val="000000" w:themeColor="text1"/>
          <w:sz w:val="24"/>
          <w:szCs w:val="24"/>
          <w:lang w:eastAsia="fr-FR"/>
        </w:rPr>
        <w:t>Agents antiparasitaires microbiens:</w:t>
      </w:r>
      <w:r w:rsidRPr="00E30870">
        <w:rPr>
          <w:rFonts w:asciiTheme="majorBidi" w:hAnsiTheme="majorBidi" w:cstheme="majorBidi"/>
          <w:color w:val="000000" w:themeColor="text1"/>
          <w:sz w:val="24"/>
          <w:szCs w:val="24"/>
        </w:rPr>
        <w:t xml:space="preserve"> Ils regroupent des microorganismes naturels ou génétiquement modifiés, qui comprennent des bactéries, algues, champignons, protozoaires, virus, mycoplasmes ou rickettsies ainsi que des organismes apparentés;</w:t>
      </w:r>
    </w:p>
    <w:p w:rsidR="00534C26" w:rsidRPr="00E30870" w:rsidRDefault="00534C26" w:rsidP="00080BA9">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eastAsia="Times New Roman" w:hAnsiTheme="majorBidi" w:cstheme="majorBidi"/>
          <w:b/>
          <w:bCs/>
          <w:color w:val="000000" w:themeColor="text1"/>
          <w:sz w:val="24"/>
          <w:szCs w:val="24"/>
          <w:lang w:eastAsia="fr-FR"/>
        </w:rPr>
        <w:t>Economes:</w:t>
      </w:r>
      <w:r w:rsidRPr="00E30870">
        <w:rPr>
          <w:rFonts w:asciiTheme="majorBidi" w:hAnsiTheme="majorBidi" w:cstheme="majorBidi"/>
          <w:color w:val="000000" w:themeColor="text1"/>
          <w:sz w:val="24"/>
          <w:szCs w:val="24"/>
        </w:rPr>
        <w:t xml:space="preserve"> </w:t>
      </w:r>
      <w:r w:rsidRPr="00E30870">
        <w:rPr>
          <w:rFonts w:asciiTheme="majorBidi" w:eastAsia="Times New Roman" w:hAnsiTheme="majorBidi" w:cstheme="majorBidi"/>
          <w:color w:val="000000" w:themeColor="text1"/>
          <w:sz w:val="24"/>
          <w:szCs w:val="24"/>
          <w:lang w:eastAsia="fr-FR"/>
        </w:rPr>
        <w:t>Ce sont des substances porteuses de message et produites par une plante ou par un animal ou, encore, des analogues synthétiques de cette substance, qui provoquent une réponse comportementale chez des individus appartenant à la même espèce ou à d'autres espèces.</w:t>
      </w:r>
      <w:r w:rsidR="00080BA9" w:rsidRPr="00E30870">
        <w:rPr>
          <w:rFonts w:asciiTheme="majorBidi" w:eastAsia="Times New Roman" w:hAnsiTheme="majorBidi" w:cstheme="majorBidi"/>
          <w:color w:val="000000" w:themeColor="text1"/>
          <w:sz w:val="24"/>
          <w:szCs w:val="24"/>
          <w:lang w:eastAsia="fr-FR"/>
        </w:rPr>
        <w:t xml:space="preserve"> L</w:t>
      </w:r>
      <w:r w:rsidRPr="00E30870">
        <w:rPr>
          <w:rFonts w:asciiTheme="majorBidi" w:eastAsia="Times New Roman" w:hAnsiTheme="majorBidi" w:cstheme="majorBidi"/>
          <w:color w:val="000000" w:themeColor="text1"/>
          <w:sz w:val="24"/>
          <w:szCs w:val="24"/>
          <w:lang w:eastAsia="fr-FR"/>
        </w:rPr>
        <w:t>es phéromones en sont des exemples</w:t>
      </w:r>
      <w:r w:rsidR="00080BA9" w:rsidRPr="00E30870">
        <w:rPr>
          <w:rFonts w:asciiTheme="majorBidi" w:eastAsia="Times New Roman" w:hAnsiTheme="majorBidi" w:cstheme="majorBidi"/>
          <w:color w:val="000000" w:themeColor="text1"/>
          <w:sz w:val="24"/>
          <w:szCs w:val="24"/>
          <w:lang w:eastAsia="fr-FR"/>
        </w:rPr>
        <w:t>.</w:t>
      </w:r>
    </w:p>
    <w:p w:rsidR="00534C26" w:rsidRPr="00E30870" w:rsidRDefault="00534C26" w:rsidP="00A13C64">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b/>
          <w:bCs/>
          <w:color w:val="000000" w:themeColor="text1"/>
          <w:sz w:val="24"/>
          <w:szCs w:val="24"/>
        </w:rPr>
        <w:lastRenderedPageBreak/>
        <w:t>Autres pesticides non classiques</w:t>
      </w:r>
      <w:r w:rsidRPr="00E30870">
        <w:rPr>
          <w:rFonts w:asciiTheme="majorBidi" w:hAnsiTheme="majorBidi" w:cstheme="majorBidi"/>
          <w:color w:val="000000" w:themeColor="text1"/>
          <w:sz w:val="24"/>
          <w:szCs w:val="24"/>
        </w:rPr>
        <w:t xml:space="preserve">: </w:t>
      </w:r>
      <w:r w:rsidRPr="00E30870">
        <w:rPr>
          <w:rFonts w:asciiTheme="majorBidi" w:eastAsia="Times New Roman" w:hAnsiTheme="majorBidi" w:cstheme="majorBidi"/>
          <w:color w:val="000000" w:themeColor="text1"/>
          <w:sz w:val="24"/>
          <w:szCs w:val="24"/>
          <w:lang w:eastAsia="fr-FR"/>
        </w:rPr>
        <w:t>Cette catégorie inclut des aliments, des agents de préservation ou des additifs, des extraits végétaux et des huiles</w:t>
      </w:r>
      <w:r w:rsidR="00A13C64" w:rsidRPr="00E30870">
        <w:rPr>
          <w:rFonts w:asciiTheme="majorBidi" w:eastAsia="Times New Roman" w:hAnsiTheme="majorBidi" w:cstheme="majorBidi"/>
          <w:color w:val="000000" w:themeColor="text1"/>
          <w:sz w:val="24"/>
          <w:szCs w:val="24"/>
          <w:lang w:eastAsia="fr-FR"/>
        </w:rPr>
        <w:t xml:space="preserve">, </w:t>
      </w:r>
      <w:r w:rsidRPr="00E30870">
        <w:rPr>
          <w:rFonts w:asciiTheme="majorBidi" w:eastAsia="Times New Roman" w:hAnsiTheme="majorBidi" w:cstheme="majorBidi"/>
          <w:color w:val="000000" w:themeColor="text1"/>
          <w:sz w:val="24"/>
          <w:szCs w:val="24"/>
          <w:lang w:eastAsia="fr-FR"/>
        </w:rPr>
        <w:t xml:space="preserve">etc. </w:t>
      </w:r>
    </w:p>
    <w:p w:rsidR="00534C26" w:rsidRPr="00E30870" w:rsidRDefault="00534C26" w:rsidP="00534C26">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b/>
          <w:bCs/>
          <w:color w:val="000000" w:themeColor="text1"/>
          <w:sz w:val="24"/>
          <w:szCs w:val="24"/>
        </w:rPr>
        <w:t>Régulateurs de croissance des insectes (</w:t>
      </w:r>
      <w:proofErr w:type="spellStart"/>
      <w:r w:rsidRPr="00E30870">
        <w:rPr>
          <w:rFonts w:asciiTheme="majorBidi" w:hAnsiTheme="majorBidi" w:cstheme="majorBidi"/>
          <w:b/>
          <w:bCs/>
          <w:color w:val="000000" w:themeColor="text1"/>
          <w:sz w:val="24"/>
          <w:szCs w:val="24"/>
        </w:rPr>
        <w:t>IGRs</w:t>
      </w:r>
      <w:proofErr w:type="spellEnd"/>
      <w:r w:rsidRPr="00E30870">
        <w:rPr>
          <w:rFonts w:asciiTheme="majorBidi" w:hAnsiTheme="majorBidi" w:cstheme="majorBidi"/>
          <w:b/>
          <w:bCs/>
          <w:color w:val="000000" w:themeColor="text1"/>
          <w:sz w:val="24"/>
          <w:szCs w:val="24"/>
        </w:rPr>
        <w:t>)</w:t>
      </w:r>
      <w:r w:rsidRPr="00E30870">
        <w:rPr>
          <w:rFonts w:asciiTheme="majorBidi" w:hAnsiTheme="majorBidi" w:cstheme="majorBidi"/>
          <w:color w:val="000000" w:themeColor="text1"/>
          <w:sz w:val="24"/>
          <w:szCs w:val="24"/>
        </w:rPr>
        <w:t>: C’est l’ensemble de composés qui empêchent les insectes d’atteindre le stade reproductif. Ils agissent soit par déréglage de l’activité hormonale des insectes ou de la synthèse de la chitine, principal constituant de leur exosquelette.</w:t>
      </w:r>
    </w:p>
    <w:p w:rsidR="00534C26" w:rsidRPr="00E30870" w:rsidRDefault="00534C26" w:rsidP="00534C26">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b/>
          <w:bCs/>
          <w:color w:val="000000" w:themeColor="text1"/>
          <w:sz w:val="24"/>
          <w:szCs w:val="24"/>
        </w:rPr>
        <w:t>Acides organiques</w:t>
      </w:r>
      <w:r w:rsidRPr="00E30870">
        <w:rPr>
          <w:rFonts w:asciiTheme="majorBidi" w:hAnsiTheme="majorBidi" w:cstheme="majorBidi"/>
          <w:color w:val="000000" w:themeColor="text1"/>
          <w:sz w:val="24"/>
          <w:szCs w:val="24"/>
        </w:rPr>
        <w:t>:</w:t>
      </w:r>
      <w:r w:rsidRPr="00E30870">
        <w:rPr>
          <w:rFonts w:asciiTheme="majorBidi" w:eastAsia="Times New Roman" w:hAnsiTheme="majorBidi" w:cstheme="majorBidi"/>
          <w:color w:val="000000" w:themeColor="text1"/>
          <w:sz w:val="24"/>
          <w:szCs w:val="24"/>
          <w:lang w:eastAsia="fr-FR"/>
        </w:rPr>
        <w:t xml:space="preserve"> Il s’agit principalement des peracides, q</w:t>
      </w:r>
      <w:r w:rsidR="00A13C64" w:rsidRPr="00E30870">
        <w:rPr>
          <w:rFonts w:asciiTheme="majorBidi" w:eastAsia="Times New Roman" w:hAnsiTheme="majorBidi" w:cstheme="majorBidi"/>
          <w:color w:val="000000" w:themeColor="text1"/>
          <w:sz w:val="24"/>
          <w:szCs w:val="24"/>
          <w:lang w:eastAsia="fr-FR"/>
        </w:rPr>
        <w:t xml:space="preserve">ui résultent de la combinaison </w:t>
      </w:r>
      <w:r w:rsidRPr="00E30870">
        <w:rPr>
          <w:rFonts w:asciiTheme="majorBidi" w:eastAsia="Times New Roman" w:hAnsiTheme="majorBidi" w:cstheme="majorBidi"/>
          <w:color w:val="000000" w:themeColor="text1"/>
          <w:sz w:val="24"/>
          <w:szCs w:val="24"/>
          <w:lang w:eastAsia="fr-FR"/>
        </w:rPr>
        <w:t>du peroxyde d’hydrogène et des acides organiques. Ces composés sont largement utilisés dans la dép</w:t>
      </w:r>
      <w:r w:rsidR="00A13C64" w:rsidRPr="00E30870">
        <w:rPr>
          <w:rFonts w:asciiTheme="majorBidi" w:eastAsia="Times New Roman" w:hAnsiTheme="majorBidi" w:cstheme="majorBidi"/>
          <w:color w:val="000000" w:themeColor="text1"/>
          <w:sz w:val="24"/>
          <w:szCs w:val="24"/>
          <w:lang w:eastAsia="fr-FR"/>
        </w:rPr>
        <w:t>ollution des eaux d’irrigation.</w:t>
      </w:r>
    </w:p>
    <w:p w:rsidR="00534C26" w:rsidRPr="00E30870" w:rsidRDefault="00534C26" w:rsidP="00534C26">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b/>
          <w:bCs/>
          <w:color w:val="000000" w:themeColor="text1"/>
          <w:sz w:val="24"/>
          <w:szCs w:val="24"/>
        </w:rPr>
        <w:t>Minéraux/autres</w:t>
      </w:r>
      <w:r w:rsidR="00CD5172" w:rsidRPr="00E30870">
        <w:rPr>
          <w:rFonts w:asciiTheme="majorBidi" w:hAnsiTheme="majorBidi" w:cstheme="majorBidi"/>
          <w:color w:val="000000" w:themeColor="text1"/>
          <w:sz w:val="24"/>
          <w:szCs w:val="24"/>
        </w:rPr>
        <w:t>: Ce</w:t>
      </w:r>
      <w:r w:rsidRPr="00E30870">
        <w:rPr>
          <w:rFonts w:asciiTheme="majorBidi" w:hAnsiTheme="majorBidi" w:cstheme="majorBidi"/>
          <w:color w:val="000000" w:themeColor="text1"/>
          <w:sz w:val="24"/>
          <w:szCs w:val="24"/>
        </w:rPr>
        <w:t xml:space="preserve"> sont des minéraux qui agissent comme des barrières qui empêchent les insectes d’atteindre les tissus des végétaux, comme le </w:t>
      </w:r>
      <w:proofErr w:type="spellStart"/>
      <w:r w:rsidRPr="00E30870">
        <w:rPr>
          <w:rFonts w:asciiTheme="majorBidi" w:hAnsiTheme="majorBidi" w:cstheme="majorBidi"/>
          <w:color w:val="000000" w:themeColor="text1"/>
          <w:sz w:val="24"/>
          <w:szCs w:val="24"/>
        </w:rPr>
        <w:t>surrownd</w:t>
      </w:r>
      <w:proofErr w:type="spellEnd"/>
      <w:r w:rsidRPr="00E30870">
        <w:rPr>
          <w:rFonts w:asciiTheme="majorBidi" w:hAnsiTheme="majorBidi" w:cstheme="majorBidi"/>
          <w:color w:val="000000" w:themeColor="text1"/>
          <w:sz w:val="24"/>
          <w:szCs w:val="24"/>
        </w:rPr>
        <w:t xml:space="preserve"> WP dont le principe actif est l’argile de </w:t>
      </w:r>
      <w:proofErr w:type="spellStart"/>
      <w:r w:rsidRPr="00E30870">
        <w:rPr>
          <w:rFonts w:asciiTheme="majorBidi" w:hAnsiTheme="majorBidi" w:cstheme="majorBidi"/>
          <w:color w:val="000000" w:themeColor="text1"/>
          <w:sz w:val="24"/>
          <w:szCs w:val="24"/>
        </w:rPr>
        <w:t>Kaoline</w:t>
      </w:r>
      <w:proofErr w:type="spellEnd"/>
      <w:r w:rsidRPr="00E30870">
        <w:rPr>
          <w:rFonts w:asciiTheme="majorBidi" w:hAnsiTheme="majorBidi" w:cstheme="majorBidi"/>
          <w:color w:val="000000" w:themeColor="text1"/>
          <w:sz w:val="24"/>
          <w:szCs w:val="24"/>
        </w:rPr>
        <w:t xml:space="preserve"> ou des inducteurs d’abrasion ou d’étouffement chez les insectes (huiles </w:t>
      </w:r>
      <w:r w:rsidR="0068643F" w:rsidRPr="00E30870">
        <w:rPr>
          <w:rFonts w:asciiTheme="majorBidi" w:hAnsiTheme="majorBidi" w:cstheme="majorBidi"/>
          <w:color w:val="000000" w:themeColor="text1"/>
          <w:sz w:val="24"/>
          <w:szCs w:val="24"/>
        </w:rPr>
        <w:t>minérales</w:t>
      </w:r>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diatomaceous</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earth</w:t>
      </w:r>
      <w:proofErr w:type="spellEnd"/>
      <w:r w:rsidRPr="00E30870">
        <w:rPr>
          <w:rFonts w:asciiTheme="majorBidi" w:hAnsiTheme="majorBidi" w:cstheme="majorBidi"/>
          <w:color w:val="000000" w:themeColor="text1"/>
          <w:sz w:val="24"/>
          <w:szCs w:val="24"/>
        </w:rPr>
        <w:t xml:space="preserve"> DE, etc.) </w:t>
      </w:r>
    </w:p>
    <w:p w:rsidR="0093515F" w:rsidRPr="00E30870" w:rsidRDefault="00534C26" w:rsidP="0093515F">
      <w:pPr>
        <w:pStyle w:val="Default"/>
        <w:spacing w:before="100" w:beforeAutospacing="1" w:after="100" w:afterAutospacing="1" w:line="360" w:lineRule="auto"/>
        <w:jc w:val="both"/>
        <w:outlineLvl w:val="1"/>
        <w:rPr>
          <w:rFonts w:asciiTheme="majorBidi" w:hAnsiTheme="majorBidi" w:cstheme="majorBidi"/>
          <w:color w:val="000000" w:themeColor="text1"/>
        </w:rPr>
      </w:pPr>
      <w:r w:rsidRPr="00E30870">
        <w:rPr>
          <w:rFonts w:asciiTheme="majorBidi" w:hAnsiTheme="majorBidi" w:cstheme="majorBidi"/>
          <w:color w:val="000000" w:themeColor="text1"/>
        </w:rPr>
        <w:t>Au Canada, l’homologation et l’usage de biopesticides sont réglementés par les dir</w:t>
      </w:r>
      <w:r w:rsidR="00461AA1" w:rsidRPr="00E30870">
        <w:rPr>
          <w:rFonts w:asciiTheme="majorBidi" w:hAnsiTheme="majorBidi" w:cstheme="majorBidi"/>
          <w:color w:val="000000" w:themeColor="text1"/>
        </w:rPr>
        <w:t>ectives applicables de l’ARLA «</w:t>
      </w:r>
      <w:r w:rsidR="00461AA1" w:rsidRPr="00E30870">
        <w:rPr>
          <w:rFonts w:asciiTheme="majorBidi" w:eastAsia="Times New Roman" w:hAnsiTheme="majorBidi" w:cstheme="majorBidi"/>
          <w:color w:val="000000" w:themeColor="text1"/>
          <w:lang w:eastAsia="fr-FR"/>
        </w:rPr>
        <w:t xml:space="preserve">DIR2001-02», «PRO2002-02» et «DIR2012-01» (ARLA, </w:t>
      </w:r>
      <w:r w:rsidRPr="00E30870">
        <w:rPr>
          <w:rFonts w:asciiTheme="majorBidi" w:eastAsia="Times New Roman" w:hAnsiTheme="majorBidi" w:cstheme="majorBidi"/>
          <w:color w:val="000000" w:themeColor="text1"/>
          <w:lang w:eastAsia="fr-FR"/>
        </w:rPr>
        <w:t>2011).</w:t>
      </w:r>
      <w:r w:rsidRPr="00E30870">
        <w:rPr>
          <w:rFonts w:asciiTheme="majorBidi" w:hAnsiTheme="majorBidi" w:cstheme="majorBidi"/>
          <w:color w:val="000000" w:themeColor="text1"/>
        </w:rPr>
        <w:t xml:space="preserve"> </w:t>
      </w:r>
      <w:r w:rsidR="00461AA1" w:rsidRPr="00E30870">
        <w:rPr>
          <w:rFonts w:asciiTheme="majorBidi" w:hAnsiTheme="majorBidi" w:cstheme="majorBidi"/>
          <w:color w:val="000000" w:themeColor="text1"/>
        </w:rPr>
        <w:t>Il est à signaler que l</w:t>
      </w:r>
      <w:r w:rsidRPr="00E30870">
        <w:rPr>
          <w:rFonts w:asciiTheme="majorBidi" w:hAnsiTheme="majorBidi" w:cstheme="majorBidi"/>
          <w:color w:val="000000" w:themeColor="text1"/>
        </w:rPr>
        <w:t xml:space="preserve">es pays de l’UE interdisent l’utilisation des OGM et leurs dérivés dans l’agriculture biologique et ont déterminé les différentes catégories de biopesticides et leur mise sur le marché dans </w:t>
      </w:r>
      <w:r w:rsidRPr="00E30870">
        <w:rPr>
          <w:rFonts w:asciiTheme="majorBidi" w:eastAsia="Times New Roman" w:hAnsiTheme="majorBidi" w:cstheme="majorBidi"/>
          <w:color w:val="000000" w:themeColor="text1"/>
          <w:lang w:eastAsia="fr-FR"/>
        </w:rPr>
        <w:t>la directive</w:t>
      </w:r>
      <w:r w:rsidRPr="00E30870">
        <w:rPr>
          <w:rFonts w:asciiTheme="majorBidi" w:hAnsiTheme="majorBidi" w:cstheme="majorBidi"/>
          <w:color w:val="000000" w:themeColor="text1"/>
        </w:rPr>
        <w:t xml:space="preserve"> 2001/36/CE de la commission </w:t>
      </w:r>
      <w:r w:rsidR="00642B3B" w:rsidRPr="00E30870">
        <w:rPr>
          <w:rFonts w:asciiTheme="majorBidi" w:hAnsiTheme="majorBidi" w:cstheme="majorBidi"/>
          <w:color w:val="000000" w:themeColor="text1"/>
        </w:rPr>
        <w:t>E</w:t>
      </w:r>
      <w:r w:rsidRPr="00E30870">
        <w:rPr>
          <w:rFonts w:asciiTheme="majorBidi" w:hAnsiTheme="majorBidi" w:cstheme="majorBidi"/>
          <w:color w:val="000000" w:themeColor="text1"/>
        </w:rPr>
        <w:t xml:space="preserve">uropéenne du 16mai 2001 portant modification de la directive 91/414/CEE du Conseil (Anonyme </w:t>
      </w:r>
      <w:r w:rsidR="00642B3B" w:rsidRPr="00E30870">
        <w:rPr>
          <w:rFonts w:asciiTheme="majorBidi" w:hAnsiTheme="majorBidi" w:cstheme="majorBidi"/>
          <w:color w:val="000000" w:themeColor="text1"/>
        </w:rPr>
        <w:t>6</w:t>
      </w:r>
      <w:r w:rsidRPr="00E30870">
        <w:rPr>
          <w:rFonts w:asciiTheme="majorBidi" w:hAnsiTheme="majorBidi" w:cstheme="majorBidi"/>
          <w:color w:val="000000" w:themeColor="text1"/>
        </w:rPr>
        <w:t xml:space="preserve">). </w:t>
      </w:r>
    </w:p>
    <w:p w:rsidR="00F21F27" w:rsidRPr="00E30870" w:rsidRDefault="0093515F" w:rsidP="00F21F27">
      <w:pPr>
        <w:pStyle w:val="Default"/>
        <w:spacing w:before="100" w:beforeAutospacing="1" w:after="100" w:afterAutospacing="1" w:line="360" w:lineRule="auto"/>
        <w:jc w:val="both"/>
        <w:outlineLvl w:val="1"/>
        <w:rPr>
          <w:rFonts w:asciiTheme="majorBidi" w:hAnsiTheme="majorBidi" w:cstheme="majorBidi"/>
          <w:color w:val="000000" w:themeColor="text1"/>
        </w:rPr>
      </w:pPr>
      <w:r w:rsidRPr="00E30870">
        <w:rPr>
          <w:rFonts w:asciiTheme="majorBidi" w:hAnsiTheme="majorBidi" w:cstheme="majorBidi"/>
          <w:i/>
          <w:iCs/>
          <w:color w:val="000000" w:themeColor="text1"/>
        </w:rPr>
        <w:t>2.7.1.</w:t>
      </w:r>
      <w:r w:rsidR="00AB7DAB" w:rsidRPr="00E30870">
        <w:rPr>
          <w:rFonts w:asciiTheme="majorBidi" w:hAnsiTheme="majorBidi" w:cstheme="majorBidi"/>
          <w:i/>
          <w:iCs/>
          <w:color w:val="000000" w:themeColor="text1"/>
        </w:rPr>
        <w:t>2</w:t>
      </w:r>
      <w:r w:rsidRPr="00E30870">
        <w:rPr>
          <w:rFonts w:asciiTheme="majorBidi" w:hAnsiTheme="majorBidi" w:cstheme="majorBidi"/>
          <w:i/>
          <w:iCs/>
          <w:color w:val="000000" w:themeColor="text1"/>
        </w:rPr>
        <w:t xml:space="preserve">- </w:t>
      </w:r>
      <w:r w:rsidR="00534C26" w:rsidRPr="00E30870">
        <w:rPr>
          <w:rFonts w:asciiTheme="majorBidi" w:hAnsiTheme="majorBidi" w:cstheme="majorBidi"/>
          <w:i/>
          <w:iCs/>
          <w:color w:val="000000" w:themeColor="text1"/>
        </w:rPr>
        <w:t>Marché des biopesticides</w:t>
      </w:r>
    </w:p>
    <w:p w:rsidR="00534C26" w:rsidRPr="00E30870" w:rsidRDefault="00534C26" w:rsidP="00F21F27">
      <w:pPr>
        <w:pStyle w:val="Default"/>
        <w:spacing w:before="100" w:beforeAutospacing="1" w:after="100" w:afterAutospacing="1" w:line="360" w:lineRule="auto"/>
        <w:jc w:val="both"/>
        <w:outlineLvl w:val="1"/>
        <w:rPr>
          <w:rFonts w:asciiTheme="majorBidi" w:hAnsiTheme="majorBidi" w:cstheme="majorBidi"/>
          <w:color w:val="000000" w:themeColor="text1"/>
        </w:rPr>
      </w:pPr>
      <w:r w:rsidRPr="00E30870">
        <w:rPr>
          <w:rFonts w:asciiTheme="majorBidi" w:hAnsiTheme="majorBidi" w:cstheme="majorBidi"/>
          <w:color w:val="000000" w:themeColor="text1"/>
        </w:rPr>
        <w:t xml:space="preserve">En 2000, le marché des biopesticides était à l’état embryonnaire, la proportion des biopesticides vendus versus les pesticides chimiques n’atteignait que 0.25% (van </w:t>
      </w:r>
      <w:proofErr w:type="spellStart"/>
      <w:r w:rsidRPr="00E30870">
        <w:rPr>
          <w:rFonts w:asciiTheme="majorBidi" w:hAnsiTheme="majorBidi" w:cstheme="majorBidi"/>
          <w:color w:val="000000" w:themeColor="text1"/>
        </w:rPr>
        <w:t>Lenteren</w:t>
      </w:r>
      <w:proofErr w:type="spellEnd"/>
      <w:r w:rsidRPr="00E30870">
        <w:rPr>
          <w:rFonts w:asciiTheme="majorBidi" w:hAnsiTheme="majorBidi" w:cstheme="majorBidi"/>
          <w:color w:val="000000" w:themeColor="text1"/>
        </w:rPr>
        <w:t>, 2000). Après cinq ans, le marché des biopesticides représentait 2.5% du marché global des pesticides qui était équivalent d’environ 26.7 milliard USD (</w:t>
      </w:r>
      <w:proofErr w:type="spellStart"/>
      <w:r w:rsidRPr="00E30870">
        <w:rPr>
          <w:rFonts w:asciiTheme="majorBidi" w:hAnsiTheme="majorBidi" w:cstheme="majorBidi"/>
          <w:color w:val="000000" w:themeColor="text1"/>
        </w:rPr>
        <w:t>Thakore</w:t>
      </w:r>
      <w:proofErr w:type="spellEnd"/>
      <w:r w:rsidRPr="00E30870">
        <w:rPr>
          <w:rFonts w:asciiTheme="majorBidi" w:hAnsiTheme="majorBidi" w:cstheme="majorBidi"/>
          <w:color w:val="000000" w:themeColor="text1"/>
        </w:rPr>
        <w:t xml:space="preserve">, 2006). En 2006, </w:t>
      </w:r>
      <w:proofErr w:type="spellStart"/>
      <w:r w:rsidRPr="00E30870">
        <w:rPr>
          <w:rFonts w:asciiTheme="majorBidi" w:hAnsiTheme="majorBidi" w:cstheme="majorBidi"/>
          <w:color w:val="000000" w:themeColor="text1"/>
        </w:rPr>
        <w:t>Arysta</w:t>
      </w:r>
      <w:proofErr w:type="spellEnd"/>
      <w:r w:rsidRPr="00E30870">
        <w:rPr>
          <w:rFonts w:asciiTheme="majorBidi" w:hAnsiTheme="majorBidi" w:cstheme="majorBidi"/>
          <w:color w:val="000000" w:themeColor="text1"/>
        </w:rPr>
        <w:t xml:space="preserve"> life science (ALS) a estimé que le marché des biopesticides était de 541 millions $ alors qu’en 2008 il a atteint</w:t>
      </w:r>
      <w:r w:rsidRPr="00E30870">
        <w:rPr>
          <w:rFonts w:asciiTheme="majorBidi" w:eastAsia="Times New Roman" w:hAnsiTheme="majorBidi" w:cstheme="majorBidi"/>
          <w:color w:val="000000" w:themeColor="text1"/>
          <w:shd w:val="clear" w:color="auto" w:fill="FFFFFF"/>
          <w:lang w:eastAsia="fr-FR"/>
        </w:rPr>
        <w:t xml:space="preserve"> 750 million USD (3% du marché global des pesticides), selon Global </w:t>
      </w:r>
      <w:proofErr w:type="spellStart"/>
      <w:r w:rsidRPr="00E30870">
        <w:rPr>
          <w:rFonts w:asciiTheme="majorBidi" w:eastAsia="Times New Roman" w:hAnsiTheme="majorBidi" w:cstheme="majorBidi"/>
          <w:color w:val="000000" w:themeColor="text1"/>
          <w:shd w:val="clear" w:color="auto" w:fill="FFFFFF"/>
          <w:lang w:eastAsia="fr-FR"/>
        </w:rPr>
        <w:t>Industry</w:t>
      </w:r>
      <w:proofErr w:type="spellEnd"/>
      <w:r w:rsidRPr="00E30870">
        <w:rPr>
          <w:rFonts w:asciiTheme="majorBidi" w:eastAsia="Times New Roman" w:hAnsiTheme="majorBidi" w:cstheme="majorBidi"/>
          <w:color w:val="000000" w:themeColor="text1"/>
          <w:shd w:val="clear" w:color="auto" w:fill="FFFFFF"/>
          <w:lang w:eastAsia="fr-FR"/>
        </w:rPr>
        <w:t xml:space="preserve"> </w:t>
      </w:r>
      <w:proofErr w:type="spellStart"/>
      <w:r w:rsidRPr="00E30870">
        <w:rPr>
          <w:rFonts w:asciiTheme="majorBidi" w:eastAsia="Times New Roman" w:hAnsiTheme="majorBidi" w:cstheme="majorBidi"/>
          <w:color w:val="000000" w:themeColor="text1"/>
          <w:shd w:val="clear" w:color="auto" w:fill="FFFFFF"/>
          <w:lang w:eastAsia="fr-FR"/>
        </w:rPr>
        <w:t>Analysts</w:t>
      </w:r>
      <w:proofErr w:type="spellEnd"/>
      <w:r w:rsidRPr="00E30870">
        <w:rPr>
          <w:rFonts w:asciiTheme="majorBidi" w:eastAsia="Times New Roman" w:hAnsiTheme="majorBidi" w:cstheme="majorBidi"/>
          <w:color w:val="000000" w:themeColor="text1"/>
          <w:shd w:val="clear" w:color="auto" w:fill="FFFFFF"/>
          <w:lang w:eastAsia="fr-FR"/>
        </w:rPr>
        <w:t xml:space="preserve"> (GIA).</w:t>
      </w:r>
      <w:r w:rsidRPr="00E30870">
        <w:rPr>
          <w:rFonts w:asciiTheme="majorBidi" w:hAnsiTheme="majorBidi" w:cstheme="majorBidi"/>
          <w:color w:val="000000" w:themeColor="text1"/>
        </w:rPr>
        <w:t xml:space="preserve"> </w:t>
      </w:r>
      <w:r w:rsidRPr="00E30870">
        <w:rPr>
          <w:rFonts w:asciiTheme="majorBidi" w:hAnsiTheme="majorBidi" w:cstheme="majorBidi"/>
          <w:color w:val="000000" w:themeColor="text1"/>
          <w:shd w:val="clear" w:color="auto" w:fill="FFFFFF"/>
        </w:rPr>
        <w:t xml:space="preserve">Le marché mondial des biopesticides est évalué à 1.3 milliards $ en 2011 et devrait atteindre 3.2 milliards USD d'ici 2017. L’Amérique du Nord a dominé le marché mondial des biopesticides, représentant environ 40% de la demande de biopesticide mondial en 2011. L'Europe devrait être le marché à forte puissance dans un avenir proche en raison de </w:t>
      </w:r>
      <w:r w:rsidRPr="00E30870">
        <w:rPr>
          <w:rFonts w:asciiTheme="majorBidi" w:hAnsiTheme="majorBidi" w:cstheme="majorBidi"/>
          <w:color w:val="000000" w:themeColor="text1"/>
          <w:shd w:val="clear" w:color="auto" w:fill="FFFFFF"/>
        </w:rPr>
        <w:lastRenderedPageBreak/>
        <w:t>la réglementation stricte pour les pesticides et la demande croissante de produits biologiques (</w:t>
      </w:r>
      <w:r w:rsidRPr="00E30870">
        <w:rPr>
          <w:rFonts w:asciiTheme="majorBidi" w:hAnsiTheme="majorBidi" w:cstheme="majorBidi"/>
          <w:color w:val="000000" w:themeColor="text1"/>
        </w:rPr>
        <w:t>Anonyme 7)</w:t>
      </w:r>
      <w:r w:rsidRPr="00E30870">
        <w:rPr>
          <w:rFonts w:asciiTheme="majorBidi" w:hAnsiTheme="majorBidi" w:cstheme="majorBidi"/>
          <w:color w:val="000000" w:themeColor="text1"/>
          <w:shd w:val="clear" w:color="auto" w:fill="FFFFFF"/>
        </w:rPr>
        <w:t>.</w:t>
      </w:r>
    </w:p>
    <w:p w:rsidR="00534C26" w:rsidRPr="006C3A39" w:rsidRDefault="00F21F27" w:rsidP="00F21F27">
      <w:pPr>
        <w:autoSpaceDE w:val="0"/>
        <w:autoSpaceDN w:val="0"/>
        <w:adjustRightInd w:val="0"/>
        <w:spacing w:after="0" w:line="360" w:lineRule="auto"/>
        <w:jc w:val="both"/>
        <w:rPr>
          <w:rFonts w:asciiTheme="majorBidi" w:hAnsiTheme="majorBidi" w:cstheme="majorBidi"/>
          <w:i/>
          <w:iCs/>
          <w:color w:val="000000" w:themeColor="text1"/>
          <w:sz w:val="24"/>
          <w:szCs w:val="24"/>
        </w:rPr>
      </w:pPr>
      <w:r w:rsidRPr="006C3A39">
        <w:rPr>
          <w:rFonts w:asciiTheme="majorBidi" w:hAnsiTheme="majorBidi" w:cstheme="majorBidi"/>
          <w:i/>
          <w:iCs/>
          <w:color w:val="000000" w:themeColor="text1"/>
        </w:rPr>
        <w:t>2.7.1.3</w:t>
      </w:r>
      <w:r w:rsidR="00AB7DAB" w:rsidRPr="006C3A39">
        <w:rPr>
          <w:rFonts w:asciiTheme="majorBidi" w:hAnsiTheme="majorBidi" w:cstheme="majorBidi"/>
          <w:i/>
          <w:iCs/>
          <w:color w:val="000000" w:themeColor="text1"/>
          <w:sz w:val="24"/>
          <w:szCs w:val="24"/>
        </w:rPr>
        <w:t xml:space="preserve">- </w:t>
      </w:r>
      <w:r w:rsidR="00534C26" w:rsidRPr="006C3A39">
        <w:rPr>
          <w:rFonts w:asciiTheme="majorBidi" w:hAnsiTheme="majorBidi" w:cstheme="majorBidi"/>
          <w:i/>
          <w:iCs/>
          <w:color w:val="000000" w:themeColor="text1"/>
          <w:sz w:val="24"/>
          <w:szCs w:val="24"/>
        </w:rPr>
        <w:t xml:space="preserve">Les biopesticides à base de Bacillus </w:t>
      </w:r>
    </w:p>
    <w:p w:rsidR="00534C26" w:rsidRPr="00E30870" w:rsidRDefault="00534C26" w:rsidP="00011C2A">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 xml:space="preserve">Les biopesticides, à base de bactéries représentent la majorité des </w:t>
      </w:r>
      <w:proofErr w:type="spellStart"/>
      <w:r w:rsidRPr="00E30870">
        <w:rPr>
          <w:rFonts w:asciiTheme="majorBidi" w:hAnsiTheme="majorBidi" w:cstheme="majorBidi"/>
          <w:color w:val="000000" w:themeColor="text1"/>
          <w:sz w:val="24"/>
          <w:szCs w:val="24"/>
        </w:rPr>
        <w:t>biopesticides</w:t>
      </w:r>
      <w:proofErr w:type="spellEnd"/>
      <w:r w:rsidRPr="00E30870">
        <w:rPr>
          <w:rFonts w:asciiTheme="majorBidi" w:hAnsiTheme="majorBidi" w:cstheme="majorBidi"/>
          <w:color w:val="000000" w:themeColor="text1"/>
          <w:sz w:val="24"/>
          <w:szCs w:val="24"/>
        </w:rPr>
        <w:t xml:space="preserve"> microbiens</w:t>
      </w:r>
      <w:r w:rsidRPr="00E30870">
        <w:rPr>
          <w:rFonts w:asciiTheme="majorBidi" w:hAnsiTheme="majorBidi" w:cstheme="majorBidi"/>
          <w:b/>
          <w:bCs/>
          <w:color w:val="000000" w:themeColor="text1"/>
          <w:sz w:val="24"/>
          <w:szCs w:val="24"/>
        </w:rPr>
        <w:t xml:space="preserve"> </w:t>
      </w:r>
      <w:r w:rsidRPr="00E30870">
        <w:rPr>
          <w:rFonts w:asciiTheme="majorBidi" w:hAnsiTheme="majorBidi" w:cstheme="majorBidi"/>
          <w:color w:val="000000" w:themeColor="text1"/>
          <w:sz w:val="24"/>
          <w:szCs w:val="24"/>
        </w:rPr>
        <w:t>(</w:t>
      </w:r>
      <w:proofErr w:type="spellStart"/>
      <w:r w:rsidRPr="00E30870">
        <w:rPr>
          <w:rFonts w:asciiTheme="majorBidi" w:hAnsiTheme="majorBidi" w:cstheme="majorBidi"/>
          <w:color w:val="000000" w:themeColor="text1"/>
          <w:sz w:val="24"/>
          <w:szCs w:val="24"/>
        </w:rPr>
        <w:t>Shoresh</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2010</w:t>
      </w:r>
      <w:r w:rsidRPr="00E30870">
        <w:rPr>
          <w:rFonts w:asciiTheme="majorBidi" w:hAnsiTheme="majorBidi" w:cstheme="majorBidi"/>
          <w:color w:val="000000" w:themeColor="text1"/>
          <w:sz w:val="24"/>
          <w:szCs w:val="24"/>
          <w:lang w:val="fr-BE"/>
        </w:rPr>
        <w:t>). Le genre</w:t>
      </w:r>
      <w:r w:rsidRPr="00E30870">
        <w:rPr>
          <w:rFonts w:asciiTheme="majorBidi" w:hAnsiTheme="majorBidi" w:cstheme="majorBidi"/>
          <w:i/>
          <w:iCs/>
          <w:color w:val="000000" w:themeColor="text1"/>
          <w:sz w:val="24"/>
          <w:szCs w:val="24"/>
          <w:lang w:val="fr-BE"/>
        </w:rPr>
        <w:t xml:space="preserve"> Bacillus </w:t>
      </w:r>
      <w:r w:rsidRPr="00E30870">
        <w:rPr>
          <w:rFonts w:asciiTheme="majorBidi" w:hAnsiTheme="majorBidi" w:cstheme="majorBidi"/>
          <w:color w:val="000000" w:themeColor="text1"/>
          <w:sz w:val="24"/>
          <w:szCs w:val="24"/>
          <w:lang w:val="fr-BE"/>
        </w:rPr>
        <w:t>est le genre bactérien</w:t>
      </w:r>
      <w:r w:rsidRPr="00E30870">
        <w:rPr>
          <w:rFonts w:asciiTheme="majorBidi" w:hAnsiTheme="majorBidi" w:cstheme="majorBidi"/>
          <w:i/>
          <w:iCs/>
          <w:color w:val="000000" w:themeColor="text1"/>
          <w:sz w:val="24"/>
          <w:szCs w:val="24"/>
          <w:lang w:val="fr-BE"/>
        </w:rPr>
        <w:t xml:space="preserve"> </w:t>
      </w:r>
      <w:r w:rsidRPr="00E30870">
        <w:rPr>
          <w:rFonts w:asciiTheme="majorBidi" w:hAnsiTheme="majorBidi" w:cstheme="majorBidi"/>
          <w:color w:val="000000" w:themeColor="text1"/>
          <w:sz w:val="24"/>
          <w:szCs w:val="24"/>
          <w:lang w:val="fr-BE"/>
        </w:rPr>
        <w:t xml:space="preserve">le plus étudié dans la recherche scientifique et le plus utilisé en agriculture. </w:t>
      </w:r>
      <w:r w:rsidRPr="00E30870">
        <w:rPr>
          <w:rFonts w:asciiTheme="majorBidi" w:hAnsiTheme="majorBidi" w:cstheme="majorBidi"/>
          <w:color w:val="000000" w:themeColor="text1"/>
          <w:sz w:val="24"/>
          <w:szCs w:val="24"/>
        </w:rPr>
        <w:t xml:space="preserve">En effet, le US Food and Drug Administration (USFDA) a confirmé que toutes les espèces qu’englobe le groupe </w:t>
      </w:r>
      <w:r w:rsidRPr="00E30870">
        <w:rPr>
          <w:rFonts w:asciiTheme="majorBidi" w:hAnsiTheme="majorBidi" w:cstheme="majorBidi"/>
          <w:i/>
          <w:iCs/>
          <w:color w:val="000000" w:themeColor="text1"/>
          <w:sz w:val="24"/>
          <w:szCs w:val="24"/>
        </w:rPr>
        <w:t>Bacillus subtils</w:t>
      </w:r>
      <w:r w:rsidRPr="00E30870">
        <w:rPr>
          <w:rFonts w:asciiTheme="majorBidi" w:hAnsiTheme="majorBidi" w:cstheme="majorBidi"/>
          <w:color w:val="000000" w:themeColor="text1"/>
          <w:sz w:val="24"/>
          <w:szCs w:val="24"/>
        </w:rPr>
        <w:t xml:space="preserve"> sont non pathogène à l’homme. En plus, le genre </w:t>
      </w:r>
      <w:r w:rsidRPr="00E30870">
        <w:rPr>
          <w:rFonts w:asciiTheme="majorBidi" w:hAnsiTheme="majorBidi" w:cstheme="majorBidi"/>
          <w:i/>
          <w:iCs/>
          <w:color w:val="000000" w:themeColor="text1"/>
          <w:sz w:val="24"/>
          <w:szCs w:val="24"/>
        </w:rPr>
        <w:t>Bacillus</w:t>
      </w:r>
      <w:r w:rsidRPr="00E30870">
        <w:rPr>
          <w:rFonts w:asciiTheme="majorBidi" w:hAnsiTheme="majorBidi" w:cstheme="majorBidi"/>
          <w:color w:val="000000" w:themeColor="text1"/>
          <w:sz w:val="24"/>
          <w:szCs w:val="24"/>
        </w:rPr>
        <w:t xml:space="preserve"> possède la possibilité de se sporuler dans des conditions défavorables ce qui facilite sa production industrielle et sa formulation en un produit stable (</w:t>
      </w:r>
      <w:proofErr w:type="spellStart"/>
      <w:r w:rsidRPr="00E30870">
        <w:rPr>
          <w:rFonts w:asciiTheme="majorBidi" w:hAnsiTheme="majorBidi" w:cstheme="majorBidi"/>
          <w:color w:val="000000" w:themeColor="text1"/>
          <w:sz w:val="24"/>
          <w:szCs w:val="24"/>
        </w:rPr>
        <w:t>Harwood</w:t>
      </w:r>
      <w:proofErr w:type="spellEnd"/>
      <w:r w:rsidRPr="00E30870">
        <w:rPr>
          <w:rFonts w:asciiTheme="majorBidi" w:hAnsiTheme="majorBidi" w:cstheme="majorBidi"/>
          <w:color w:val="000000" w:themeColor="text1"/>
          <w:sz w:val="24"/>
          <w:szCs w:val="24"/>
        </w:rPr>
        <w:t xml:space="preserve"> et </w:t>
      </w:r>
      <w:proofErr w:type="spellStart"/>
      <w:r w:rsidRPr="00E30870">
        <w:rPr>
          <w:rFonts w:asciiTheme="majorBidi" w:hAnsiTheme="majorBidi" w:cstheme="majorBidi"/>
          <w:color w:val="000000" w:themeColor="text1"/>
          <w:sz w:val="24"/>
          <w:szCs w:val="24"/>
        </w:rPr>
        <w:t>Wipat</w:t>
      </w:r>
      <w:proofErr w:type="spellEnd"/>
      <w:r w:rsidRPr="00E30870">
        <w:rPr>
          <w:rFonts w:asciiTheme="majorBidi" w:hAnsiTheme="majorBidi" w:cstheme="majorBidi"/>
          <w:color w:val="000000" w:themeColor="text1"/>
          <w:sz w:val="24"/>
          <w:szCs w:val="24"/>
        </w:rPr>
        <w:t xml:space="preserve">, 1996; </w:t>
      </w:r>
      <w:proofErr w:type="spellStart"/>
      <w:r w:rsidRPr="00E30870">
        <w:rPr>
          <w:rFonts w:asciiTheme="majorBidi" w:hAnsiTheme="majorBidi" w:cstheme="majorBidi"/>
          <w:color w:val="000000" w:themeColor="text1"/>
          <w:sz w:val="24"/>
          <w:szCs w:val="24"/>
        </w:rPr>
        <w:t>Lolloo</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2010).</w:t>
      </w:r>
      <w:r w:rsidR="00011C2A" w:rsidRPr="00E30870">
        <w:rPr>
          <w:rFonts w:asciiTheme="majorBidi" w:hAnsiTheme="majorBidi" w:cstheme="majorBidi"/>
          <w:color w:val="000000" w:themeColor="text1"/>
          <w:sz w:val="24"/>
          <w:szCs w:val="24"/>
          <w:lang w:val="fr-BE"/>
        </w:rPr>
        <w:t xml:space="preserve"> Le tableau 3 résume l’ensemble des souches de </w:t>
      </w:r>
      <w:r w:rsidR="00011C2A" w:rsidRPr="00E30870">
        <w:rPr>
          <w:rFonts w:asciiTheme="majorBidi" w:hAnsiTheme="majorBidi" w:cstheme="majorBidi"/>
          <w:i/>
          <w:iCs/>
          <w:color w:val="000000" w:themeColor="text1"/>
          <w:sz w:val="24"/>
          <w:szCs w:val="24"/>
          <w:lang w:val="fr-BE"/>
        </w:rPr>
        <w:t>Bacillus</w:t>
      </w:r>
      <w:r w:rsidR="00011C2A" w:rsidRPr="00E30870">
        <w:rPr>
          <w:rFonts w:asciiTheme="majorBidi" w:hAnsiTheme="majorBidi" w:cstheme="majorBidi"/>
          <w:color w:val="000000" w:themeColor="text1"/>
          <w:sz w:val="24"/>
          <w:szCs w:val="24"/>
          <w:lang w:val="fr-BE"/>
        </w:rPr>
        <w:t xml:space="preserve"> commercialisées dans le monde comme biofertilisants et agents de </w:t>
      </w:r>
      <w:proofErr w:type="spellStart"/>
      <w:r w:rsidR="00011C2A" w:rsidRPr="00E30870">
        <w:rPr>
          <w:rFonts w:asciiTheme="majorBidi" w:hAnsiTheme="majorBidi" w:cstheme="majorBidi"/>
          <w:color w:val="000000" w:themeColor="text1"/>
          <w:sz w:val="24"/>
          <w:szCs w:val="24"/>
          <w:lang w:val="fr-BE"/>
        </w:rPr>
        <w:t>biocontrôle</w:t>
      </w:r>
      <w:proofErr w:type="spellEnd"/>
      <w:r w:rsidR="00011C2A" w:rsidRPr="00E30870">
        <w:rPr>
          <w:rFonts w:asciiTheme="majorBidi" w:hAnsiTheme="majorBidi" w:cstheme="majorBidi"/>
          <w:i/>
          <w:iCs/>
          <w:color w:val="000000" w:themeColor="text1"/>
          <w:sz w:val="24"/>
          <w:szCs w:val="24"/>
          <w:lang w:val="fr-BE"/>
        </w:rPr>
        <w:t xml:space="preserve"> </w:t>
      </w:r>
      <w:r w:rsidR="00011C2A" w:rsidRPr="00E30870">
        <w:rPr>
          <w:rFonts w:asciiTheme="majorBidi" w:hAnsiTheme="majorBidi" w:cstheme="majorBidi"/>
          <w:color w:val="000000" w:themeColor="text1"/>
          <w:sz w:val="24"/>
          <w:szCs w:val="24"/>
          <w:lang w:val="fr-BE"/>
        </w:rPr>
        <w:t>(</w:t>
      </w:r>
      <w:proofErr w:type="spellStart"/>
      <w:r w:rsidR="00011C2A" w:rsidRPr="00E30870">
        <w:rPr>
          <w:rFonts w:asciiTheme="majorBidi" w:hAnsiTheme="majorBidi" w:cstheme="majorBidi"/>
          <w:color w:val="000000" w:themeColor="text1"/>
          <w:sz w:val="24"/>
          <w:szCs w:val="24"/>
          <w:lang w:val="fr-BE"/>
        </w:rPr>
        <w:t>Cawoy</w:t>
      </w:r>
      <w:proofErr w:type="spellEnd"/>
      <w:r w:rsidR="00011C2A" w:rsidRPr="00E30870">
        <w:rPr>
          <w:rFonts w:asciiTheme="majorBidi" w:hAnsiTheme="majorBidi" w:cstheme="majorBidi"/>
          <w:color w:val="000000" w:themeColor="text1"/>
          <w:sz w:val="24"/>
          <w:szCs w:val="24"/>
          <w:lang w:val="fr-BE"/>
        </w:rPr>
        <w:t>,</w:t>
      </w:r>
      <w:r w:rsidR="00011C2A" w:rsidRPr="00E30870">
        <w:rPr>
          <w:rFonts w:asciiTheme="majorBidi" w:hAnsiTheme="majorBidi" w:cstheme="majorBidi"/>
          <w:i/>
          <w:iCs/>
          <w:color w:val="000000" w:themeColor="text1"/>
          <w:sz w:val="24"/>
          <w:szCs w:val="24"/>
          <w:lang w:val="fr-BE"/>
        </w:rPr>
        <w:t xml:space="preserve"> </w:t>
      </w:r>
      <w:r w:rsidR="00011C2A" w:rsidRPr="00E30870">
        <w:rPr>
          <w:rFonts w:asciiTheme="majorBidi" w:hAnsiTheme="majorBidi" w:cstheme="majorBidi"/>
          <w:color w:val="000000" w:themeColor="text1"/>
          <w:sz w:val="24"/>
          <w:szCs w:val="24"/>
          <w:lang w:val="fr-BE"/>
        </w:rPr>
        <w:t>2012)</w:t>
      </w:r>
      <w:r w:rsidR="00011C2A" w:rsidRPr="00E30870">
        <w:rPr>
          <w:rFonts w:asciiTheme="majorBidi" w:hAnsiTheme="majorBidi" w:cstheme="majorBidi"/>
          <w:i/>
          <w:iCs/>
          <w:color w:val="000000" w:themeColor="text1"/>
          <w:sz w:val="24"/>
          <w:szCs w:val="24"/>
          <w:lang w:val="fr-BE"/>
        </w:rPr>
        <w:t>.</w:t>
      </w:r>
    </w:p>
    <w:p w:rsidR="00B56277" w:rsidRPr="00E30870" w:rsidRDefault="00B56277" w:rsidP="00534C26">
      <w:pPr>
        <w:autoSpaceDE w:val="0"/>
        <w:autoSpaceDN w:val="0"/>
        <w:adjustRightInd w:val="0"/>
        <w:spacing w:after="0" w:line="360" w:lineRule="auto"/>
        <w:jc w:val="both"/>
        <w:rPr>
          <w:rFonts w:asciiTheme="majorBidi" w:hAnsiTheme="majorBidi" w:cstheme="majorBidi"/>
          <w:i/>
          <w:iCs/>
          <w:color w:val="000000" w:themeColor="text1"/>
          <w:sz w:val="24"/>
          <w:szCs w:val="24"/>
          <w:lang w:val="fr-BE"/>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0643D7" w:rsidRDefault="000643D7" w:rsidP="00874822">
      <w:pPr>
        <w:spacing w:line="360" w:lineRule="auto"/>
        <w:jc w:val="both"/>
        <w:rPr>
          <w:rFonts w:asciiTheme="majorBidi" w:eastAsia="Times New Roman" w:hAnsiTheme="majorBidi" w:cstheme="majorBidi"/>
          <w:b/>
          <w:bCs/>
          <w:color w:val="000000" w:themeColor="text1"/>
          <w:lang w:val="fr-BE" w:eastAsia="fr-FR"/>
        </w:rPr>
      </w:pPr>
    </w:p>
    <w:p w:rsidR="00534C26" w:rsidRPr="00E30870" w:rsidRDefault="00534C26" w:rsidP="00874822">
      <w:pPr>
        <w:spacing w:line="360" w:lineRule="auto"/>
        <w:jc w:val="both"/>
        <w:rPr>
          <w:rFonts w:asciiTheme="majorBidi" w:eastAsia="Times New Roman" w:hAnsiTheme="majorBidi" w:cstheme="majorBidi"/>
          <w:b/>
          <w:bCs/>
          <w:color w:val="000000" w:themeColor="text1"/>
          <w:sz w:val="18"/>
          <w:szCs w:val="18"/>
          <w:lang w:eastAsia="fr-FR"/>
        </w:rPr>
      </w:pPr>
      <w:r w:rsidRPr="00E30870">
        <w:rPr>
          <w:rFonts w:asciiTheme="majorBidi" w:eastAsia="Times New Roman" w:hAnsiTheme="majorBidi" w:cstheme="majorBidi"/>
          <w:b/>
          <w:bCs/>
          <w:color w:val="000000" w:themeColor="text1"/>
          <w:lang w:eastAsia="fr-FR"/>
        </w:rPr>
        <w:lastRenderedPageBreak/>
        <w:t>Tableau 3</w:t>
      </w:r>
      <w:r w:rsidRPr="00E30870">
        <w:rPr>
          <w:rFonts w:asciiTheme="majorBidi" w:eastAsia="Times New Roman" w:hAnsiTheme="majorBidi" w:cstheme="majorBidi"/>
          <w:b/>
          <w:bCs/>
          <w:color w:val="000000" w:themeColor="text1"/>
          <w:sz w:val="18"/>
          <w:szCs w:val="18"/>
          <w:lang w:eastAsia="fr-FR"/>
        </w:rPr>
        <w:t xml:space="preserve"> </w:t>
      </w:r>
      <w:r w:rsidRPr="00E30870">
        <w:rPr>
          <w:rFonts w:asciiTheme="majorBidi" w:eastAsia="Times New Roman" w:hAnsiTheme="majorBidi" w:cstheme="majorBidi"/>
          <w:color w:val="000000" w:themeColor="text1"/>
          <w:lang w:eastAsia="fr-FR"/>
        </w:rPr>
        <w:t xml:space="preserve">Biopesticides bactériens </w:t>
      </w:r>
      <w:r w:rsidR="00874822" w:rsidRPr="00E30870">
        <w:rPr>
          <w:rFonts w:asciiTheme="majorBidi" w:eastAsia="Times New Roman" w:hAnsiTheme="majorBidi" w:cstheme="majorBidi"/>
          <w:color w:val="000000" w:themeColor="text1"/>
          <w:lang w:eastAsia="fr-FR"/>
        </w:rPr>
        <w:t xml:space="preserve">appartenant au genre </w:t>
      </w:r>
      <w:r w:rsidR="00874822" w:rsidRPr="00E30870">
        <w:rPr>
          <w:rFonts w:asciiTheme="majorBidi" w:eastAsia="Times New Roman" w:hAnsiTheme="majorBidi" w:cstheme="majorBidi"/>
          <w:i/>
          <w:iCs/>
          <w:color w:val="000000" w:themeColor="text1"/>
          <w:lang w:eastAsia="fr-FR"/>
        </w:rPr>
        <w:t>Bacillus</w:t>
      </w:r>
      <w:r w:rsidR="00874822" w:rsidRPr="00E30870">
        <w:rPr>
          <w:rFonts w:asciiTheme="majorBidi" w:eastAsia="Times New Roman" w:hAnsiTheme="majorBidi" w:cstheme="majorBidi"/>
          <w:color w:val="000000" w:themeColor="text1"/>
          <w:lang w:eastAsia="fr-FR"/>
        </w:rPr>
        <w:t xml:space="preserve"> </w:t>
      </w:r>
      <w:r w:rsidRPr="00E30870">
        <w:rPr>
          <w:rFonts w:asciiTheme="majorBidi" w:eastAsia="Times New Roman" w:hAnsiTheme="majorBidi" w:cstheme="majorBidi"/>
          <w:color w:val="000000" w:themeColor="text1"/>
          <w:lang w:eastAsia="fr-FR"/>
        </w:rPr>
        <w:t>homologués</w:t>
      </w:r>
      <w:r w:rsidR="00874822" w:rsidRPr="00E30870">
        <w:rPr>
          <w:rFonts w:asciiTheme="majorBidi" w:eastAsia="Times New Roman" w:hAnsiTheme="majorBidi" w:cstheme="majorBidi"/>
          <w:color w:val="000000" w:themeColor="text1"/>
          <w:lang w:eastAsia="fr-FR"/>
        </w:rPr>
        <w:t xml:space="preserve"> et </w:t>
      </w:r>
      <w:r w:rsidRPr="00E30870">
        <w:rPr>
          <w:rFonts w:asciiTheme="majorBidi" w:eastAsia="Times New Roman" w:hAnsiTheme="majorBidi" w:cstheme="majorBidi"/>
          <w:color w:val="000000" w:themeColor="text1"/>
          <w:lang w:eastAsia="fr-FR"/>
        </w:rPr>
        <w:t>utilis</w:t>
      </w:r>
      <w:r w:rsidR="00874822" w:rsidRPr="00E30870">
        <w:rPr>
          <w:rFonts w:asciiTheme="majorBidi" w:eastAsia="Times New Roman" w:hAnsiTheme="majorBidi" w:cstheme="majorBidi"/>
          <w:color w:val="000000" w:themeColor="text1"/>
          <w:lang w:eastAsia="fr-FR"/>
        </w:rPr>
        <w:t xml:space="preserve">és comme agents de biocontrôle. </w:t>
      </w:r>
      <w:r w:rsidRPr="00E30870">
        <w:rPr>
          <w:rFonts w:asciiTheme="majorBidi" w:eastAsia="Times New Roman" w:hAnsiTheme="majorBidi" w:cstheme="majorBidi"/>
          <w:color w:val="000000" w:themeColor="text1"/>
          <w:lang w:eastAsia="fr-FR"/>
        </w:rPr>
        <w:t xml:space="preserve">Source: </w:t>
      </w:r>
      <w:proofErr w:type="spellStart"/>
      <w:r w:rsidRPr="00E30870">
        <w:rPr>
          <w:rFonts w:asciiTheme="majorBidi" w:eastAsia="Times New Roman" w:hAnsiTheme="majorBidi" w:cstheme="majorBidi"/>
          <w:color w:val="000000" w:themeColor="text1"/>
          <w:lang w:eastAsia="fr-FR"/>
        </w:rPr>
        <w:t>Cawoy</w:t>
      </w:r>
      <w:proofErr w:type="spellEnd"/>
      <w:r w:rsidRPr="00E30870">
        <w:rPr>
          <w:rFonts w:asciiTheme="majorBidi" w:eastAsia="Times New Roman" w:hAnsiTheme="majorBidi" w:cstheme="majorBidi"/>
          <w:color w:val="000000" w:themeColor="text1"/>
          <w:lang w:eastAsia="fr-FR"/>
        </w:rPr>
        <w:t xml:space="preserve"> </w:t>
      </w:r>
      <w:r w:rsidRPr="00E30870">
        <w:rPr>
          <w:rFonts w:asciiTheme="majorBidi" w:eastAsia="Times New Roman" w:hAnsiTheme="majorBidi" w:cstheme="majorBidi"/>
          <w:i/>
          <w:iCs/>
          <w:color w:val="000000" w:themeColor="text1"/>
          <w:lang w:eastAsia="fr-FR"/>
        </w:rPr>
        <w:t xml:space="preserve">et </w:t>
      </w:r>
      <w:proofErr w:type="gramStart"/>
      <w:r w:rsidRPr="00E30870">
        <w:rPr>
          <w:rFonts w:asciiTheme="majorBidi" w:eastAsia="Times New Roman" w:hAnsiTheme="majorBidi" w:cstheme="majorBidi"/>
          <w:i/>
          <w:iCs/>
          <w:color w:val="000000" w:themeColor="text1"/>
          <w:lang w:eastAsia="fr-FR"/>
        </w:rPr>
        <w:t>al.,</w:t>
      </w:r>
      <w:proofErr w:type="gramEnd"/>
      <w:r w:rsidRPr="00E30870">
        <w:rPr>
          <w:rFonts w:asciiTheme="majorBidi" w:eastAsia="Times New Roman" w:hAnsiTheme="majorBidi" w:cstheme="majorBidi"/>
          <w:color w:val="000000" w:themeColor="text1"/>
          <w:lang w:eastAsia="fr-FR"/>
        </w:rPr>
        <w:t xml:space="preserve"> 2012.</w:t>
      </w:r>
    </w:p>
    <w:p w:rsidR="00534C26" w:rsidRPr="00E30870" w:rsidRDefault="00534C26" w:rsidP="00534C26">
      <w:pPr>
        <w:rPr>
          <w:rFonts w:asciiTheme="majorBidi" w:hAnsiTheme="majorBidi" w:cstheme="majorBidi"/>
          <w:color w:val="000000" w:themeColor="text1"/>
        </w:rPr>
      </w:pPr>
      <w:r w:rsidRPr="00E30870">
        <w:rPr>
          <w:rFonts w:asciiTheme="majorBidi" w:hAnsiTheme="majorBidi" w:cstheme="majorBidi"/>
          <w:noProof/>
          <w:color w:val="000000" w:themeColor="text1"/>
          <w:lang w:eastAsia="fr-FR"/>
        </w:rPr>
        <w:drawing>
          <wp:inline distT="0" distB="0" distL="0" distR="0">
            <wp:extent cx="5758752" cy="5757706"/>
            <wp:effectExtent l="57150" t="38100" r="32448" b="14444"/>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l="1682" t="1329" r="2870" b="3464"/>
                    <a:stretch>
                      <a:fillRect/>
                    </a:stretch>
                  </pic:blipFill>
                  <pic:spPr bwMode="auto">
                    <a:xfrm>
                      <a:off x="0" y="0"/>
                      <a:ext cx="5758752" cy="5757706"/>
                    </a:xfrm>
                    <a:prstGeom prst="rect">
                      <a:avLst/>
                    </a:prstGeom>
                    <a:noFill/>
                    <a:ln w="28575">
                      <a:solidFill>
                        <a:schemeClr val="tx1"/>
                      </a:solidFill>
                      <a:miter lim="800000"/>
                      <a:headEnd/>
                      <a:tailEnd/>
                    </a:ln>
                  </pic:spPr>
                </pic:pic>
              </a:graphicData>
            </a:graphic>
          </wp:inline>
        </w:drawing>
      </w:r>
    </w:p>
    <w:p w:rsidR="00534C26" w:rsidRPr="00E30870" w:rsidRDefault="00534C26" w:rsidP="00534C26">
      <w:pPr>
        <w:rPr>
          <w:rFonts w:asciiTheme="majorBidi" w:hAnsiTheme="majorBidi" w:cstheme="majorBidi"/>
          <w:color w:val="000000" w:themeColor="text1"/>
        </w:rPr>
      </w:pPr>
      <w:r w:rsidRPr="00E30870">
        <w:rPr>
          <w:rFonts w:asciiTheme="majorBidi" w:hAnsiTheme="majorBidi" w:cstheme="majorBidi"/>
          <w:noProof/>
          <w:color w:val="000000" w:themeColor="text1"/>
          <w:lang w:eastAsia="fr-FR"/>
        </w:rPr>
        <w:lastRenderedPageBreak/>
        <w:drawing>
          <wp:inline distT="0" distB="0" distL="0" distR="0">
            <wp:extent cx="6000324" cy="3025600"/>
            <wp:effectExtent l="19050" t="19050" r="19476" b="22400"/>
            <wp:docPr id="18" name="Image 31"/>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33" cstate="print"/>
                    <a:srcRect l="16167" t="14076" r="13906" b="9388"/>
                    <a:stretch>
                      <a:fillRect/>
                    </a:stretch>
                  </pic:blipFill>
                  <pic:spPr bwMode="auto">
                    <a:xfrm>
                      <a:off x="0" y="0"/>
                      <a:ext cx="6003209" cy="3027055"/>
                    </a:xfrm>
                    <a:prstGeom prst="rect">
                      <a:avLst/>
                    </a:prstGeom>
                    <a:noFill/>
                    <a:ln w="19050">
                      <a:solidFill>
                        <a:schemeClr val="tx1"/>
                      </a:solidFill>
                      <a:miter lim="800000"/>
                      <a:headEnd/>
                      <a:tailEnd/>
                    </a:ln>
                  </pic:spPr>
                </pic:pic>
              </a:graphicData>
            </a:graphic>
          </wp:inline>
        </w:drawing>
      </w:r>
      <w:r w:rsidRPr="00E30870">
        <w:rPr>
          <w:rFonts w:asciiTheme="majorBidi" w:hAnsiTheme="majorBidi" w:cstheme="majorBidi"/>
          <w:color w:val="000000" w:themeColor="text1"/>
        </w:rPr>
        <w:t xml:space="preserve"> </w:t>
      </w:r>
      <w:r w:rsidRPr="00E30870">
        <w:rPr>
          <w:rFonts w:asciiTheme="majorBidi" w:hAnsiTheme="majorBidi" w:cstheme="majorBidi"/>
          <w:noProof/>
          <w:color w:val="000000" w:themeColor="text1"/>
          <w:lang w:eastAsia="fr-FR"/>
        </w:rPr>
        <w:drawing>
          <wp:inline distT="0" distB="0" distL="0" distR="0">
            <wp:extent cx="6000324" cy="2624190"/>
            <wp:effectExtent l="19050" t="19050" r="19476" b="23760"/>
            <wp:docPr id="20" name="Image 3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34" cstate="print"/>
                    <a:srcRect l="15990" t="19091" r="13501" b="13828"/>
                    <a:stretch>
                      <a:fillRect/>
                    </a:stretch>
                  </pic:blipFill>
                  <pic:spPr bwMode="auto">
                    <a:xfrm>
                      <a:off x="0" y="0"/>
                      <a:ext cx="5997188" cy="2622819"/>
                    </a:xfrm>
                    <a:prstGeom prst="rect">
                      <a:avLst/>
                    </a:prstGeom>
                    <a:noFill/>
                    <a:ln w="19050">
                      <a:solidFill>
                        <a:schemeClr val="tx1"/>
                      </a:solidFill>
                      <a:miter lim="800000"/>
                      <a:headEnd/>
                      <a:tailEnd/>
                    </a:ln>
                  </pic:spPr>
                </pic:pic>
              </a:graphicData>
            </a:graphic>
          </wp:inline>
        </w:drawing>
      </w:r>
      <w:r w:rsidRPr="00E30870">
        <w:rPr>
          <w:rFonts w:asciiTheme="majorBidi" w:hAnsiTheme="majorBidi" w:cstheme="majorBidi"/>
          <w:noProof/>
          <w:color w:val="000000" w:themeColor="text1"/>
          <w:lang w:eastAsia="fr-FR"/>
        </w:rPr>
        <w:drawing>
          <wp:inline distT="0" distB="0" distL="0" distR="0">
            <wp:extent cx="5999912" cy="1106366"/>
            <wp:effectExtent l="19050" t="19050" r="19888" b="17584"/>
            <wp:docPr id="29" name="Image 33"/>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35" cstate="print"/>
                    <a:srcRect l="16407" t="17903" r="13228" b="61360"/>
                    <a:stretch>
                      <a:fillRect/>
                    </a:stretch>
                  </pic:blipFill>
                  <pic:spPr bwMode="auto">
                    <a:xfrm>
                      <a:off x="0" y="0"/>
                      <a:ext cx="6023061" cy="1110635"/>
                    </a:xfrm>
                    <a:prstGeom prst="rect">
                      <a:avLst/>
                    </a:prstGeom>
                    <a:noFill/>
                    <a:ln w="19050">
                      <a:solidFill>
                        <a:srgbClr val="002060"/>
                      </a:solidFill>
                      <a:miter lim="800000"/>
                      <a:headEnd/>
                      <a:tailEnd/>
                    </a:ln>
                  </pic:spPr>
                </pic:pic>
              </a:graphicData>
            </a:graphic>
          </wp:inline>
        </w:drawing>
      </w:r>
    </w:p>
    <w:p w:rsidR="00534C26" w:rsidRPr="00E30870" w:rsidRDefault="00534C26" w:rsidP="00534C26">
      <w:pPr>
        <w:rPr>
          <w:rFonts w:asciiTheme="majorBidi" w:hAnsiTheme="majorBidi" w:cstheme="majorBidi"/>
          <w:color w:val="000000" w:themeColor="text1"/>
        </w:rPr>
      </w:pPr>
    </w:p>
    <w:p w:rsidR="00534C26" w:rsidRPr="00E30870" w:rsidRDefault="00534C26" w:rsidP="00534C26">
      <w:pPr>
        <w:rPr>
          <w:rFonts w:asciiTheme="majorBidi" w:hAnsiTheme="majorBidi" w:cstheme="majorBidi"/>
          <w:color w:val="000000" w:themeColor="text1"/>
        </w:rPr>
      </w:pPr>
      <w:r w:rsidRPr="00E30870">
        <w:rPr>
          <w:rFonts w:asciiTheme="majorBidi" w:hAnsiTheme="majorBidi" w:cstheme="majorBidi"/>
          <w:noProof/>
          <w:color w:val="000000" w:themeColor="text1"/>
          <w:lang w:eastAsia="fr-FR"/>
        </w:rPr>
        <w:lastRenderedPageBreak/>
        <w:drawing>
          <wp:inline distT="0" distB="0" distL="0" distR="0">
            <wp:extent cx="5589612" cy="3496826"/>
            <wp:effectExtent l="19050" t="19050" r="11088" b="27424"/>
            <wp:docPr id="30" name="Image 42"/>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36" cstate="print"/>
                    <a:srcRect l="16032" t="19385" r="13565" b="9655"/>
                    <a:stretch>
                      <a:fillRect/>
                    </a:stretch>
                  </pic:blipFill>
                  <pic:spPr bwMode="auto">
                    <a:xfrm>
                      <a:off x="0" y="0"/>
                      <a:ext cx="5589612" cy="3496826"/>
                    </a:xfrm>
                    <a:prstGeom prst="rect">
                      <a:avLst/>
                    </a:prstGeom>
                    <a:noFill/>
                    <a:ln w="19050">
                      <a:solidFill>
                        <a:srgbClr val="002060"/>
                      </a:solidFill>
                      <a:miter lim="800000"/>
                      <a:headEnd/>
                      <a:tailEnd/>
                    </a:ln>
                  </pic:spPr>
                </pic:pic>
              </a:graphicData>
            </a:graphic>
          </wp:inline>
        </w:drawing>
      </w:r>
    </w:p>
    <w:p w:rsidR="00534C26" w:rsidRPr="006C3A39" w:rsidRDefault="00C76691" w:rsidP="00C76691">
      <w:pPr>
        <w:autoSpaceDE w:val="0"/>
        <w:autoSpaceDN w:val="0"/>
        <w:adjustRightInd w:val="0"/>
        <w:spacing w:after="0" w:line="360" w:lineRule="auto"/>
        <w:jc w:val="both"/>
        <w:rPr>
          <w:rFonts w:asciiTheme="majorBidi" w:hAnsiTheme="majorBidi" w:cstheme="majorBidi"/>
          <w:i/>
          <w:iCs/>
          <w:color w:val="000000" w:themeColor="text1"/>
          <w:sz w:val="24"/>
          <w:szCs w:val="24"/>
        </w:rPr>
      </w:pPr>
      <w:r w:rsidRPr="006C3A39">
        <w:rPr>
          <w:rFonts w:asciiTheme="majorBidi" w:hAnsiTheme="majorBidi" w:cstheme="majorBidi"/>
          <w:i/>
          <w:iCs/>
          <w:color w:val="000000" w:themeColor="text1"/>
        </w:rPr>
        <w:t>2.7.1.4</w:t>
      </w:r>
      <w:r w:rsidRPr="006C3A39">
        <w:rPr>
          <w:rFonts w:asciiTheme="majorBidi" w:hAnsiTheme="majorBidi" w:cstheme="majorBidi"/>
          <w:i/>
          <w:iCs/>
          <w:color w:val="000000" w:themeColor="text1"/>
          <w:sz w:val="24"/>
          <w:szCs w:val="24"/>
        </w:rPr>
        <w:t xml:space="preserve">- </w:t>
      </w:r>
      <w:r w:rsidR="00534C26" w:rsidRPr="006C3A39">
        <w:rPr>
          <w:rFonts w:asciiTheme="majorBidi" w:hAnsiTheme="majorBidi" w:cstheme="majorBidi"/>
          <w:i/>
          <w:iCs/>
          <w:color w:val="000000" w:themeColor="text1"/>
          <w:sz w:val="24"/>
          <w:szCs w:val="24"/>
        </w:rPr>
        <w:t>Avantages et inconvénients des biopesticides microbiens</w:t>
      </w:r>
    </w:p>
    <w:p w:rsidR="004D7346" w:rsidRPr="00E30870" w:rsidRDefault="00534C26" w:rsidP="00F52C9A">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Les biopesticides microbiens montrent plusieurs avantages en comparaison avec les produits phytosanitaires de synthèse. Ils ont une action spécifique vis-à-vis des ravageurs, ils</w:t>
      </w:r>
      <w:r w:rsidR="00F52C9A" w:rsidRPr="00E30870">
        <w:rPr>
          <w:rFonts w:asciiTheme="majorBidi" w:hAnsiTheme="majorBidi" w:cstheme="majorBidi"/>
          <w:color w:val="000000" w:themeColor="text1"/>
          <w:sz w:val="24"/>
          <w:szCs w:val="24"/>
        </w:rPr>
        <w:t xml:space="preserve"> ne</w:t>
      </w:r>
      <w:r w:rsidRPr="00E30870">
        <w:rPr>
          <w:rFonts w:asciiTheme="majorBidi" w:hAnsiTheme="majorBidi" w:cstheme="majorBidi"/>
          <w:color w:val="000000" w:themeColor="text1"/>
          <w:sz w:val="24"/>
          <w:szCs w:val="24"/>
        </w:rPr>
        <w:t xml:space="preserve"> sont </w:t>
      </w:r>
      <w:r w:rsidR="00F52C9A" w:rsidRPr="00E30870">
        <w:rPr>
          <w:rFonts w:asciiTheme="majorBidi" w:hAnsiTheme="majorBidi" w:cstheme="majorBidi"/>
          <w:color w:val="000000" w:themeColor="text1"/>
          <w:sz w:val="24"/>
          <w:szCs w:val="24"/>
        </w:rPr>
        <w:t>pas</w:t>
      </w:r>
      <w:r w:rsidRPr="00E30870">
        <w:rPr>
          <w:rFonts w:asciiTheme="majorBidi" w:hAnsiTheme="majorBidi" w:cstheme="majorBidi"/>
          <w:color w:val="000000" w:themeColor="text1"/>
          <w:sz w:val="24"/>
          <w:szCs w:val="24"/>
        </w:rPr>
        <w:t xml:space="preserve"> toxiques et se dégradent plus rapidement dans l’environnement (</w:t>
      </w:r>
      <w:proofErr w:type="spellStart"/>
      <w:r w:rsidRPr="00E30870">
        <w:rPr>
          <w:rFonts w:asciiTheme="majorBidi" w:hAnsiTheme="majorBidi" w:cstheme="majorBidi"/>
          <w:color w:val="000000" w:themeColor="text1"/>
          <w:sz w:val="24"/>
          <w:szCs w:val="24"/>
        </w:rPr>
        <w:t>Thakore</w:t>
      </w:r>
      <w:proofErr w:type="spellEnd"/>
      <w:r w:rsidRPr="00E30870">
        <w:rPr>
          <w:rFonts w:asciiTheme="majorBidi" w:hAnsiTheme="majorBidi" w:cstheme="majorBidi"/>
          <w:color w:val="000000" w:themeColor="text1"/>
          <w:sz w:val="24"/>
          <w:szCs w:val="24"/>
        </w:rPr>
        <w:t xml:space="preserve">, 2006). Cette catégorie de biopesticides, en particulier les PGPRs (dont le genre </w:t>
      </w:r>
      <w:r w:rsidRPr="00E30870">
        <w:rPr>
          <w:rFonts w:asciiTheme="majorBidi" w:hAnsiTheme="majorBidi" w:cstheme="majorBidi"/>
          <w:i/>
          <w:iCs/>
          <w:color w:val="000000" w:themeColor="text1"/>
          <w:sz w:val="24"/>
          <w:szCs w:val="24"/>
        </w:rPr>
        <w:t>Bacillus</w:t>
      </w:r>
      <w:r w:rsidRPr="00E30870">
        <w:rPr>
          <w:rFonts w:asciiTheme="majorBidi" w:hAnsiTheme="majorBidi" w:cstheme="majorBidi"/>
          <w:color w:val="000000" w:themeColor="text1"/>
          <w:sz w:val="24"/>
          <w:szCs w:val="24"/>
        </w:rPr>
        <w:t xml:space="preserve"> fait partie)</w:t>
      </w:r>
      <w:r w:rsidR="00527C1C" w:rsidRPr="00E30870">
        <w:rPr>
          <w:rFonts w:asciiTheme="majorBidi" w:hAnsiTheme="majorBidi" w:cstheme="majorBidi"/>
          <w:color w:val="000000" w:themeColor="text1"/>
          <w:sz w:val="24"/>
          <w:szCs w:val="24"/>
        </w:rPr>
        <w:t>,</w:t>
      </w:r>
      <w:r w:rsidRPr="00E30870">
        <w:rPr>
          <w:rFonts w:asciiTheme="majorBidi" w:hAnsiTheme="majorBidi" w:cstheme="majorBidi"/>
          <w:color w:val="000000" w:themeColor="text1"/>
          <w:sz w:val="24"/>
          <w:szCs w:val="24"/>
        </w:rPr>
        <w:t xml:space="preserve"> </w:t>
      </w:r>
      <w:r w:rsidR="00527C1C" w:rsidRPr="00E30870">
        <w:rPr>
          <w:rFonts w:asciiTheme="majorBidi" w:hAnsiTheme="majorBidi" w:cstheme="majorBidi"/>
          <w:color w:val="000000" w:themeColor="text1"/>
          <w:sz w:val="24"/>
          <w:szCs w:val="24"/>
        </w:rPr>
        <w:t>ont</w:t>
      </w:r>
      <w:r w:rsidRPr="00E30870">
        <w:rPr>
          <w:rFonts w:asciiTheme="majorBidi" w:hAnsiTheme="majorBidi" w:cstheme="majorBidi"/>
          <w:color w:val="000000" w:themeColor="text1"/>
          <w:sz w:val="24"/>
          <w:szCs w:val="24"/>
        </w:rPr>
        <w:t xml:space="preserve"> des modes d’action variés et peuvent par conséquent supprimer la résistance chez le pathogène. Ils protègent la plante par plusieurs mécanismes</w:t>
      </w:r>
      <w:r w:rsidR="00F52C9A" w:rsidRPr="00E30870">
        <w:rPr>
          <w:rFonts w:asciiTheme="majorBidi" w:hAnsiTheme="majorBidi" w:cstheme="majorBidi"/>
          <w:color w:val="000000" w:themeColor="text1"/>
          <w:sz w:val="24"/>
          <w:szCs w:val="24"/>
        </w:rPr>
        <w:t xml:space="preserve"> directs et indirects, à savoir</w:t>
      </w:r>
      <w:r w:rsidRPr="00E30870">
        <w:rPr>
          <w:rFonts w:asciiTheme="majorBidi" w:hAnsiTheme="majorBidi" w:cstheme="majorBidi"/>
          <w:color w:val="000000" w:themeColor="text1"/>
          <w:sz w:val="24"/>
          <w:szCs w:val="24"/>
        </w:rPr>
        <w:t>: la compétition, l’antagonisme direct et la stimulation du système immunitaire de la plante. Ils peuvent également promouvoir la croissance des plantes (biofertilisation et phytostimulation) et/ou stimuler les interactions entre les plantes et d’autres microorganismes bénéfiques (</w:t>
      </w:r>
      <w:proofErr w:type="spellStart"/>
      <w:r w:rsidRPr="00E30870">
        <w:rPr>
          <w:rFonts w:asciiTheme="majorBidi" w:hAnsiTheme="majorBidi" w:cstheme="majorBidi"/>
          <w:color w:val="000000" w:themeColor="text1"/>
          <w:sz w:val="24"/>
          <w:szCs w:val="24"/>
        </w:rPr>
        <w:t>Antoun</w:t>
      </w:r>
      <w:proofErr w:type="spellEnd"/>
      <w:r w:rsidRPr="00E30870">
        <w:rPr>
          <w:rFonts w:asciiTheme="majorBidi" w:hAnsiTheme="majorBidi" w:cstheme="majorBidi"/>
          <w:color w:val="000000" w:themeColor="text1"/>
          <w:sz w:val="24"/>
          <w:szCs w:val="24"/>
        </w:rPr>
        <w:t xml:space="preserve"> et </w:t>
      </w:r>
      <w:proofErr w:type="spellStart"/>
      <w:r w:rsidRPr="00E30870">
        <w:rPr>
          <w:rFonts w:asciiTheme="majorBidi" w:hAnsiTheme="majorBidi" w:cstheme="majorBidi"/>
          <w:color w:val="000000" w:themeColor="text1"/>
          <w:sz w:val="24"/>
          <w:szCs w:val="24"/>
        </w:rPr>
        <w:t>Prevost</w:t>
      </w:r>
      <w:proofErr w:type="spellEnd"/>
      <w:r w:rsidRPr="00E30870">
        <w:rPr>
          <w:rFonts w:asciiTheme="majorBidi" w:hAnsiTheme="majorBidi" w:cstheme="majorBidi"/>
          <w:color w:val="000000" w:themeColor="text1"/>
          <w:sz w:val="24"/>
          <w:szCs w:val="24"/>
        </w:rPr>
        <w:t>, 2006). La biofertilisation se manifeste dans la solubilisation des nutriments insolubles dans le sol, par exemple, beaucoup de microbes bénéfiques du sol produisent des enzymes (</w:t>
      </w:r>
      <w:proofErr w:type="spellStart"/>
      <w:r w:rsidRPr="00E30870">
        <w:rPr>
          <w:rFonts w:asciiTheme="majorBidi" w:hAnsiTheme="majorBidi" w:cstheme="majorBidi"/>
          <w:color w:val="000000" w:themeColor="text1"/>
          <w:sz w:val="24"/>
          <w:szCs w:val="24"/>
        </w:rPr>
        <w:t>phytase</w:t>
      </w:r>
      <w:proofErr w:type="spellEnd"/>
      <w:r w:rsidRPr="00E30870">
        <w:rPr>
          <w:rFonts w:asciiTheme="majorBidi" w:hAnsiTheme="majorBidi" w:cstheme="majorBidi"/>
          <w:color w:val="000000" w:themeColor="text1"/>
          <w:sz w:val="24"/>
          <w:szCs w:val="24"/>
        </w:rPr>
        <w:t xml:space="preserve"> et phosphatases non spécifiques) et des acides organiques, pour solubiliser les formes insolubles du phosphate organique et inorganique</w:t>
      </w:r>
      <w:r w:rsidR="00F52C9A" w:rsidRPr="00E30870">
        <w:rPr>
          <w:rFonts w:asciiTheme="majorBidi" w:hAnsiTheme="majorBidi" w:cstheme="majorBidi"/>
          <w:color w:val="000000" w:themeColor="text1"/>
          <w:sz w:val="24"/>
          <w:szCs w:val="24"/>
        </w:rPr>
        <w:t>,</w:t>
      </w:r>
      <w:r w:rsidRPr="00E30870">
        <w:rPr>
          <w:rFonts w:asciiTheme="majorBidi" w:hAnsiTheme="majorBidi" w:cstheme="majorBidi"/>
          <w:color w:val="000000" w:themeColor="text1"/>
          <w:sz w:val="24"/>
          <w:szCs w:val="24"/>
        </w:rPr>
        <w:t xml:space="preserve"> respectivement. En revanche, la phytostimulation est la promotion directe de croissance des plantes à travers la modulation de la balance hormonale. Les phytohormones incluent les cytokines, les </w:t>
      </w:r>
      <w:proofErr w:type="spellStart"/>
      <w:r w:rsidRPr="00E30870">
        <w:rPr>
          <w:rFonts w:asciiTheme="majorBidi" w:hAnsiTheme="majorBidi" w:cstheme="majorBidi"/>
          <w:color w:val="000000" w:themeColor="text1"/>
          <w:sz w:val="24"/>
          <w:szCs w:val="24"/>
        </w:rPr>
        <w:t>giberilines</w:t>
      </w:r>
      <w:proofErr w:type="spellEnd"/>
      <w:r w:rsidRPr="00E30870">
        <w:rPr>
          <w:rFonts w:asciiTheme="majorBidi" w:hAnsiTheme="majorBidi" w:cstheme="majorBidi"/>
          <w:color w:val="000000" w:themeColor="text1"/>
          <w:sz w:val="24"/>
          <w:szCs w:val="24"/>
        </w:rPr>
        <w:t xml:space="preserve"> et les </w:t>
      </w:r>
      <w:proofErr w:type="spellStart"/>
      <w:r w:rsidRPr="00E30870">
        <w:rPr>
          <w:rFonts w:asciiTheme="majorBidi" w:hAnsiTheme="majorBidi" w:cstheme="majorBidi"/>
          <w:color w:val="000000" w:themeColor="text1"/>
          <w:sz w:val="24"/>
          <w:szCs w:val="24"/>
        </w:rPr>
        <w:t>auxins</w:t>
      </w:r>
      <w:proofErr w:type="spellEnd"/>
      <w:r w:rsidRPr="00E30870">
        <w:rPr>
          <w:rFonts w:asciiTheme="majorBidi" w:hAnsiTheme="majorBidi" w:cstheme="majorBidi"/>
          <w:color w:val="000000" w:themeColor="text1"/>
          <w:sz w:val="24"/>
          <w:szCs w:val="24"/>
        </w:rPr>
        <w:t xml:space="preserve"> (Francis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2010; </w:t>
      </w:r>
      <w:proofErr w:type="spellStart"/>
      <w:r w:rsidRPr="00E30870">
        <w:rPr>
          <w:rFonts w:asciiTheme="majorBidi" w:hAnsiTheme="majorBidi" w:cstheme="majorBidi"/>
          <w:color w:val="000000" w:themeColor="text1"/>
          <w:sz w:val="24"/>
          <w:szCs w:val="24"/>
        </w:rPr>
        <w:t>Lugtenberg</w:t>
      </w:r>
      <w:proofErr w:type="spellEnd"/>
      <w:r w:rsidRPr="00E30870">
        <w:rPr>
          <w:rFonts w:asciiTheme="majorBidi" w:hAnsiTheme="majorBidi" w:cstheme="majorBidi"/>
          <w:color w:val="000000" w:themeColor="text1"/>
          <w:sz w:val="24"/>
          <w:szCs w:val="24"/>
        </w:rPr>
        <w:t xml:space="preserve"> et </w:t>
      </w:r>
      <w:proofErr w:type="spellStart"/>
      <w:r w:rsidRPr="00E30870">
        <w:rPr>
          <w:rFonts w:asciiTheme="majorBidi" w:hAnsiTheme="majorBidi" w:cstheme="majorBidi"/>
          <w:color w:val="000000" w:themeColor="text1"/>
          <w:sz w:val="24"/>
          <w:szCs w:val="24"/>
        </w:rPr>
        <w:t>Ka</w:t>
      </w:r>
      <w:r w:rsidR="00F52C9A" w:rsidRPr="00E30870">
        <w:rPr>
          <w:rFonts w:asciiTheme="majorBidi" w:hAnsiTheme="majorBidi" w:cstheme="majorBidi"/>
          <w:color w:val="000000" w:themeColor="text1"/>
          <w:sz w:val="24"/>
          <w:szCs w:val="24"/>
        </w:rPr>
        <w:t>milova</w:t>
      </w:r>
      <w:proofErr w:type="spellEnd"/>
      <w:r w:rsidR="00F52C9A" w:rsidRPr="00E30870">
        <w:rPr>
          <w:rFonts w:asciiTheme="majorBidi" w:hAnsiTheme="majorBidi" w:cstheme="majorBidi"/>
          <w:color w:val="000000" w:themeColor="text1"/>
          <w:sz w:val="24"/>
          <w:szCs w:val="24"/>
        </w:rPr>
        <w:t xml:space="preserve">, 2009). </w:t>
      </w:r>
    </w:p>
    <w:p w:rsidR="00534C26" w:rsidRPr="00E30870" w:rsidRDefault="00F52C9A" w:rsidP="004D7346">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Dans la partie «marché des biopesticides</w:t>
      </w:r>
      <w:r w:rsidR="00534C26" w:rsidRPr="00E30870">
        <w:rPr>
          <w:rFonts w:asciiTheme="majorBidi" w:hAnsiTheme="majorBidi" w:cstheme="majorBidi"/>
          <w:color w:val="000000" w:themeColor="text1"/>
          <w:sz w:val="24"/>
          <w:szCs w:val="24"/>
        </w:rPr>
        <w:t xml:space="preserve">» on a décrit la lente évolution du marché des produits respectueux de l’environnement. Ceci peut être attribuée aux quelques inconvénients </w:t>
      </w:r>
      <w:r w:rsidR="00534C26" w:rsidRPr="00E30870">
        <w:rPr>
          <w:rFonts w:asciiTheme="majorBidi" w:hAnsiTheme="majorBidi" w:cstheme="majorBidi"/>
          <w:color w:val="000000" w:themeColor="text1"/>
          <w:sz w:val="24"/>
          <w:szCs w:val="24"/>
        </w:rPr>
        <w:lastRenderedPageBreak/>
        <w:t xml:space="preserve">que possèdent les biopesticides. </w:t>
      </w:r>
      <w:r w:rsidR="004D7346" w:rsidRPr="00E30870">
        <w:rPr>
          <w:rFonts w:asciiTheme="majorBidi" w:hAnsiTheme="majorBidi" w:cstheme="majorBidi"/>
          <w:color w:val="000000" w:themeColor="text1"/>
          <w:sz w:val="24"/>
          <w:szCs w:val="24"/>
        </w:rPr>
        <w:t>En effet</w:t>
      </w:r>
      <w:r w:rsidR="00534C26" w:rsidRPr="00E30870">
        <w:rPr>
          <w:rFonts w:asciiTheme="majorBidi" w:hAnsiTheme="majorBidi" w:cstheme="majorBidi"/>
          <w:color w:val="000000" w:themeColor="text1"/>
          <w:sz w:val="24"/>
          <w:szCs w:val="24"/>
        </w:rPr>
        <w:t>, il est important de se rappeler que la plupart des biopesticides sont composés d’organismes vivants et leur efficacité est déterminée par les conditions biotiques et abiotiques du champ (</w:t>
      </w:r>
      <w:proofErr w:type="spellStart"/>
      <w:r w:rsidR="00534C26" w:rsidRPr="00E30870">
        <w:rPr>
          <w:rFonts w:asciiTheme="majorBidi" w:hAnsiTheme="majorBidi" w:cstheme="majorBidi"/>
          <w:color w:val="000000" w:themeColor="text1"/>
          <w:sz w:val="24"/>
          <w:szCs w:val="24"/>
        </w:rPr>
        <w:t>Cawoy</w:t>
      </w:r>
      <w:proofErr w:type="spellEnd"/>
      <w:r w:rsidR="00534C26" w:rsidRPr="00E30870">
        <w:rPr>
          <w:rFonts w:asciiTheme="majorBidi" w:hAnsiTheme="majorBidi" w:cstheme="majorBidi"/>
          <w:color w:val="000000" w:themeColor="text1"/>
          <w:sz w:val="24"/>
          <w:szCs w:val="24"/>
        </w:rPr>
        <w:t>, 2012). En plus, leur production, basée principalement sur le processus de fermentation dans des bioréacteurs industriels est très complexe et comporte beaucoup de problèmes dont le plus sévère est celui de la contamination.</w:t>
      </w:r>
      <w:r w:rsidR="000D0A50" w:rsidRPr="00E30870">
        <w:rPr>
          <w:rFonts w:asciiTheme="majorBidi" w:hAnsiTheme="majorBidi" w:cstheme="majorBidi"/>
          <w:color w:val="000000" w:themeColor="text1"/>
          <w:sz w:val="24"/>
          <w:szCs w:val="24"/>
        </w:rPr>
        <w:t xml:space="preserve"> Par ailleurs, l</w:t>
      </w:r>
      <w:r w:rsidR="00534C26" w:rsidRPr="00E30870">
        <w:rPr>
          <w:rFonts w:asciiTheme="majorBidi" w:hAnsiTheme="majorBidi" w:cstheme="majorBidi"/>
          <w:color w:val="000000" w:themeColor="text1"/>
          <w:sz w:val="24"/>
          <w:szCs w:val="24"/>
        </w:rPr>
        <w:t>a formulation des biopesticides microbiens en un produit stable et leur stockage affecte le taux de viabilité des cellules qui les constituent. En fin, le processus d’homologation des biopesticides est complexe, cher et dure longtemps. Ceci est observé beaucoup plus en Europe et au Canada, contrairement aux Etats Unis. Ces pays exigent ainsi en plus des tests toxicologiques, une démonstration approfondie du potentiel pesticide du produit et ce, sur plusieurs saisons et pour toutes les régions géographiques particulières (Rochefort, 2006).</w:t>
      </w:r>
    </w:p>
    <w:p w:rsidR="00534C26" w:rsidRPr="006C3A39" w:rsidRDefault="00C76691" w:rsidP="00C76691">
      <w:pPr>
        <w:shd w:val="clear" w:color="auto" w:fill="FFFFFF"/>
        <w:spacing w:before="120" w:after="120" w:line="384" w:lineRule="atLeast"/>
        <w:ind w:right="240"/>
        <w:textAlignment w:val="baseline"/>
        <w:outlineLvl w:val="2"/>
        <w:rPr>
          <w:rFonts w:asciiTheme="majorBidi" w:eastAsia="Times New Roman" w:hAnsiTheme="majorBidi" w:cstheme="majorBidi"/>
          <w:i/>
          <w:iCs/>
          <w:color w:val="000000" w:themeColor="text1"/>
          <w:sz w:val="24"/>
          <w:szCs w:val="24"/>
          <w:lang w:eastAsia="fr-FR"/>
        </w:rPr>
      </w:pPr>
      <w:r w:rsidRPr="006C3A39">
        <w:rPr>
          <w:rFonts w:asciiTheme="majorBidi" w:hAnsiTheme="majorBidi" w:cstheme="majorBidi"/>
          <w:i/>
          <w:iCs/>
          <w:color w:val="000000" w:themeColor="text1"/>
        </w:rPr>
        <w:t>2.7.1.5</w:t>
      </w:r>
      <w:r w:rsidRPr="006C3A39">
        <w:rPr>
          <w:rFonts w:asciiTheme="majorBidi" w:hAnsiTheme="majorBidi" w:cstheme="majorBidi"/>
          <w:i/>
          <w:iCs/>
          <w:color w:val="000000" w:themeColor="text1"/>
          <w:sz w:val="24"/>
          <w:szCs w:val="24"/>
        </w:rPr>
        <w:t>-</w:t>
      </w:r>
      <w:r w:rsidR="00B76512" w:rsidRPr="006C3A39">
        <w:rPr>
          <w:rFonts w:asciiTheme="majorBidi" w:eastAsia="Times New Roman" w:hAnsiTheme="majorBidi" w:cstheme="majorBidi"/>
          <w:i/>
          <w:iCs/>
          <w:color w:val="000000" w:themeColor="text1"/>
          <w:sz w:val="24"/>
          <w:szCs w:val="24"/>
          <w:lang w:eastAsia="fr-FR"/>
        </w:rPr>
        <w:t xml:space="preserve"> </w:t>
      </w:r>
      <w:r w:rsidR="00534C26" w:rsidRPr="006C3A39">
        <w:rPr>
          <w:rFonts w:asciiTheme="majorBidi" w:eastAsia="Times New Roman" w:hAnsiTheme="majorBidi" w:cstheme="majorBidi"/>
          <w:i/>
          <w:iCs/>
          <w:color w:val="000000" w:themeColor="text1"/>
          <w:sz w:val="24"/>
          <w:szCs w:val="24"/>
          <w:lang w:eastAsia="fr-FR"/>
        </w:rPr>
        <w:t xml:space="preserve">Utilisation </w:t>
      </w:r>
      <w:r w:rsidR="00B76512" w:rsidRPr="006C3A39">
        <w:rPr>
          <w:rFonts w:asciiTheme="majorBidi" w:eastAsia="Times New Roman" w:hAnsiTheme="majorBidi" w:cstheme="majorBidi"/>
          <w:i/>
          <w:iCs/>
          <w:color w:val="000000" w:themeColor="text1"/>
          <w:sz w:val="24"/>
          <w:szCs w:val="24"/>
          <w:lang w:eastAsia="fr-FR"/>
        </w:rPr>
        <w:t>efficace</w:t>
      </w:r>
      <w:r w:rsidR="00534C26" w:rsidRPr="006C3A39">
        <w:rPr>
          <w:rFonts w:asciiTheme="majorBidi" w:eastAsia="Times New Roman" w:hAnsiTheme="majorBidi" w:cstheme="majorBidi"/>
          <w:i/>
          <w:iCs/>
          <w:color w:val="000000" w:themeColor="text1"/>
          <w:sz w:val="24"/>
          <w:szCs w:val="24"/>
          <w:lang w:eastAsia="fr-FR"/>
        </w:rPr>
        <w:t xml:space="preserve"> des biopesticides</w:t>
      </w:r>
    </w:p>
    <w:p w:rsidR="00F13144" w:rsidRPr="00E30870" w:rsidRDefault="00534C26" w:rsidP="0090756B">
      <w:pPr>
        <w:shd w:val="clear" w:color="auto" w:fill="FFFFFF"/>
        <w:spacing w:before="240" w:after="360" w:line="360" w:lineRule="auto"/>
        <w:ind w:right="242"/>
        <w:jc w:val="both"/>
        <w:textAlignment w:val="baseline"/>
        <w:rPr>
          <w:rFonts w:asciiTheme="majorBidi" w:hAnsiTheme="majorBidi" w:cstheme="majorBidi"/>
          <w:color w:val="000000" w:themeColor="text1"/>
          <w:sz w:val="24"/>
          <w:szCs w:val="24"/>
        </w:rPr>
      </w:pPr>
      <w:r w:rsidRPr="00E30870">
        <w:rPr>
          <w:rFonts w:asciiTheme="majorBidi" w:eastAsia="Times New Roman" w:hAnsiTheme="majorBidi" w:cstheme="majorBidi"/>
          <w:color w:val="000000" w:themeColor="text1"/>
          <w:sz w:val="24"/>
          <w:szCs w:val="24"/>
          <w:lang w:eastAsia="fr-FR"/>
        </w:rPr>
        <w:t xml:space="preserve">Les biopesticides ne sont généralement pas conçus comme « remède miracle » et devraient toujours être utilisés parallèlement avec d'autres stratégies de lutte contre les ennemis de cultures. Ainsi, les biopesticides jouent un rôle important et sont largement utilisés dans le cadre de l’agriculture intégrée (IPM: </w:t>
      </w:r>
      <w:proofErr w:type="spellStart"/>
      <w:r w:rsidR="00DC3020" w:rsidRPr="00E30870">
        <w:rPr>
          <w:rFonts w:asciiTheme="majorBidi" w:eastAsia="Times New Roman" w:hAnsiTheme="majorBidi" w:cstheme="majorBidi"/>
          <w:color w:val="000000" w:themeColor="text1"/>
          <w:sz w:val="24"/>
          <w:szCs w:val="24"/>
          <w:lang w:eastAsia="fr-FR"/>
        </w:rPr>
        <w:t>integrated</w:t>
      </w:r>
      <w:proofErr w:type="spellEnd"/>
      <w:r w:rsidR="00DC3020" w:rsidRPr="00E30870">
        <w:rPr>
          <w:rFonts w:asciiTheme="majorBidi" w:eastAsia="Times New Roman" w:hAnsiTheme="majorBidi" w:cstheme="majorBidi"/>
          <w:color w:val="000000" w:themeColor="text1"/>
          <w:sz w:val="24"/>
          <w:szCs w:val="24"/>
          <w:lang w:eastAsia="fr-FR"/>
        </w:rPr>
        <w:t xml:space="preserve"> </w:t>
      </w:r>
      <w:proofErr w:type="spellStart"/>
      <w:r w:rsidR="00DC3020" w:rsidRPr="00E30870">
        <w:rPr>
          <w:rFonts w:asciiTheme="majorBidi" w:eastAsia="Times New Roman" w:hAnsiTheme="majorBidi" w:cstheme="majorBidi"/>
          <w:color w:val="000000" w:themeColor="text1"/>
          <w:sz w:val="24"/>
          <w:szCs w:val="24"/>
          <w:lang w:eastAsia="fr-FR"/>
        </w:rPr>
        <w:t>pest</w:t>
      </w:r>
      <w:proofErr w:type="spellEnd"/>
      <w:r w:rsidR="00DC3020" w:rsidRPr="00E30870">
        <w:rPr>
          <w:rFonts w:asciiTheme="majorBidi" w:eastAsia="Times New Roman" w:hAnsiTheme="majorBidi" w:cstheme="majorBidi"/>
          <w:color w:val="000000" w:themeColor="text1"/>
          <w:sz w:val="24"/>
          <w:szCs w:val="24"/>
          <w:lang w:eastAsia="fr-FR"/>
        </w:rPr>
        <w:t xml:space="preserve"> management). Pour illustration, la gestion de la production des fleurs de «lys» au Brésil est montrée ci-dessous. La culture des fleurs de «lys</w:t>
      </w:r>
      <w:r w:rsidRPr="00E30870">
        <w:rPr>
          <w:rFonts w:asciiTheme="majorBidi" w:eastAsia="Times New Roman" w:hAnsiTheme="majorBidi" w:cstheme="majorBidi"/>
          <w:color w:val="000000" w:themeColor="text1"/>
          <w:sz w:val="24"/>
          <w:szCs w:val="24"/>
          <w:lang w:eastAsia="fr-FR"/>
        </w:rPr>
        <w:t xml:space="preserve">» est menacée par plusieurs genres de champignons phytopathogènes. Parmi lesquels, </w:t>
      </w:r>
      <w:r w:rsidR="00DC3020" w:rsidRPr="00E30870">
        <w:rPr>
          <w:rFonts w:asciiTheme="majorBidi" w:eastAsia="Times New Roman" w:hAnsiTheme="majorBidi" w:cstheme="majorBidi"/>
          <w:color w:val="000000" w:themeColor="text1"/>
          <w:sz w:val="24"/>
          <w:szCs w:val="24"/>
          <w:lang w:eastAsia="fr-FR"/>
        </w:rPr>
        <w:t xml:space="preserve">les genres, </w:t>
      </w:r>
      <w:r w:rsidRPr="00E30870">
        <w:rPr>
          <w:rFonts w:asciiTheme="majorBidi" w:hAnsiTheme="majorBidi" w:cstheme="majorBidi"/>
          <w:i/>
          <w:iCs/>
          <w:color w:val="000000" w:themeColor="text1"/>
          <w:sz w:val="24"/>
          <w:szCs w:val="24"/>
        </w:rPr>
        <w:t xml:space="preserve">Botrytis, Phytophthora, </w:t>
      </w:r>
      <w:proofErr w:type="spellStart"/>
      <w:r w:rsidRPr="00E30870">
        <w:rPr>
          <w:rFonts w:asciiTheme="majorBidi" w:hAnsiTheme="majorBidi" w:cstheme="majorBidi"/>
          <w:i/>
          <w:iCs/>
          <w:color w:val="000000" w:themeColor="text1"/>
          <w:sz w:val="24"/>
          <w:szCs w:val="24"/>
        </w:rPr>
        <w:t>Fusarium</w:t>
      </w:r>
      <w:proofErr w:type="spellEnd"/>
      <w:r w:rsidRPr="00E30870">
        <w:rPr>
          <w:rFonts w:asciiTheme="majorBidi" w:hAnsiTheme="majorBidi" w:cstheme="majorBidi"/>
          <w:i/>
          <w:iCs/>
          <w:color w:val="000000" w:themeColor="text1"/>
          <w:sz w:val="24"/>
          <w:szCs w:val="24"/>
        </w:rPr>
        <w:t xml:space="preserve">, </w:t>
      </w:r>
      <w:proofErr w:type="spellStart"/>
      <w:r w:rsidRPr="00E30870">
        <w:rPr>
          <w:rFonts w:asciiTheme="majorBidi" w:hAnsiTheme="majorBidi" w:cstheme="majorBidi"/>
          <w:i/>
          <w:iCs/>
          <w:color w:val="000000" w:themeColor="text1"/>
          <w:sz w:val="24"/>
          <w:szCs w:val="24"/>
        </w:rPr>
        <w:t>Sclerotinia</w:t>
      </w:r>
      <w:proofErr w:type="spellEnd"/>
      <w:r w:rsidRPr="00E30870">
        <w:rPr>
          <w:rFonts w:asciiTheme="majorBidi" w:hAnsiTheme="majorBidi" w:cstheme="majorBidi"/>
          <w:i/>
          <w:iCs/>
          <w:color w:val="000000" w:themeColor="text1"/>
          <w:sz w:val="24"/>
          <w:szCs w:val="24"/>
        </w:rPr>
        <w:t xml:space="preserve">, Penicillium, </w:t>
      </w:r>
      <w:proofErr w:type="spellStart"/>
      <w:r w:rsidRPr="00E30870">
        <w:rPr>
          <w:rFonts w:asciiTheme="majorBidi" w:hAnsiTheme="majorBidi" w:cstheme="majorBidi"/>
          <w:i/>
          <w:iCs/>
          <w:color w:val="000000" w:themeColor="text1"/>
          <w:sz w:val="24"/>
          <w:szCs w:val="24"/>
        </w:rPr>
        <w:t>Rhizoctonia</w:t>
      </w:r>
      <w:proofErr w:type="spellEnd"/>
      <w:r w:rsidRPr="00E30870">
        <w:rPr>
          <w:rFonts w:asciiTheme="majorBidi" w:hAnsiTheme="majorBidi" w:cstheme="majorBidi"/>
          <w:color w:val="000000" w:themeColor="text1"/>
          <w:sz w:val="24"/>
          <w:szCs w:val="24"/>
        </w:rPr>
        <w:t xml:space="preserve"> et </w:t>
      </w:r>
      <w:proofErr w:type="spellStart"/>
      <w:r w:rsidRPr="00E30870">
        <w:rPr>
          <w:rFonts w:asciiTheme="majorBidi" w:hAnsiTheme="majorBidi" w:cstheme="majorBidi"/>
          <w:i/>
          <w:iCs/>
          <w:color w:val="000000" w:themeColor="text1"/>
          <w:sz w:val="24"/>
          <w:szCs w:val="24"/>
        </w:rPr>
        <w:t>Pythium</w:t>
      </w:r>
      <w:proofErr w:type="spellEnd"/>
      <w:r w:rsidRPr="00E30870">
        <w:rPr>
          <w:rFonts w:asciiTheme="majorBidi" w:hAnsiTheme="majorBidi" w:cstheme="majorBidi"/>
          <w:i/>
          <w:iCs/>
          <w:color w:val="000000" w:themeColor="text1"/>
          <w:sz w:val="24"/>
          <w:szCs w:val="24"/>
        </w:rPr>
        <w:t>.</w:t>
      </w:r>
      <w:r w:rsidRPr="00E30870">
        <w:rPr>
          <w:rFonts w:asciiTheme="majorBidi" w:hAnsiTheme="majorBidi" w:cstheme="majorBidi"/>
          <w:color w:val="000000" w:themeColor="text1"/>
          <w:sz w:val="24"/>
          <w:szCs w:val="24"/>
        </w:rPr>
        <w:t xml:space="preserve"> En 2000, pour résoudre ce problème, 30 produits phytosanitaires chimiques ont été utilisés pour 10.00 USD/m</w:t>
      </w:r>
      <w:r w:rsidRPr="00E30870">
        <w:rPr>
          <w:rFonts w:asciiTheme="majorBidi" w:hAnsiTheme="majorBidi" w:cstheme="majorBidi"/>
          <w:color w:val="000000" w:themeColor="text1"/>
          <w:sz w:val="24"/>
          <w:szCs w:val="24"/>
          <w:vertAlign w:val="superscript"/>
        </w:rPr>
        <w:t>2</w:t>
      </w:r>
      <w:r w:rsidRPr="00E30870">
        <w:rPr>
          <w:rFonts w:asciiTheme="majorBidi" w:hAnsiTheme="majorBidi" w:cstheme="majorBidi"/>
          <w:color w:val="000000" w:themeColor="text1"/>
          <w:sz w:val="24"/>
          <w:szCs w:val="24"/>
        </w:rPr>
        <w:t xml:space="preserve">. L’augmentation des doses de ces produits chimique au cours des années est indispensable au bon contrôle de cette culture. Face à cette situation, un autre programme de production a été proposé dans le but de minimiser l’usage des pesticides chimiques. En fait, l’utilisation de ces derniers a été graduellement remplacée par des méthodes de contrôle biocompatibles. Dans un premier temps les pesticides les plus dangereux ont été éliminés progressivement, pendant deux ans. Ensuite, des procédures de fertilisation ont été mises en place, pour adapter le sol aux besoins des agents microbiens de biocontrol. Le traitement biologique était principalement basé sur l’utilisation des suspensions de </w:t>
      </w:r>
      <w:proofErr w:type="spellStart"/>
      <w:r w:rsidRPr="00E30870">
        <w:rPr>
          <w:rFonts w:asciiTheme="majorBidi" w:hAnsiTheme="majorBidi" w:cstheme="majorBidi"/>
          <w:i/>
          <w:iCs/>
          <w:color w:val="000000" w:themeColor="text1"/>
          <w:sz w:val="24"/>
          <w:szCs w:val="24"/>
        </w:rPr>
        <w:t>Trichoderma</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i/>
          <w:iCs/>
          <w:color w:val="000000" w:themeColor="text1"/>
          <w:sz w:val="24"/>
          <w:szCs w:val="24"/>
        </w:rPr>
        <w:t>Metarhizium</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i/>
          <w:iCs/>
          <w:color w:val="000000" w:themeColor="text1"/>
          <w:sz w:val="24"/>
          <w:szCs w:val="24"/>
        </w:rPr>
        <w:t>Clonostachys</w:t>
      </w:r>
      <w:proofErr w:type="spellEnd"/>
      <w:r w:rsidRPr="00E30870">
        <w:rPr>
          <w:rFonts w:asciiTheme="majorBidi" w:hAnsiTheme="majorBidi" w:cstheme="majorBidi"/>
          <w:i/>
          <w:iCs/>
          <w:color w:val="000000" w:themeColor="text1"/>
          <w:sz w:val="24"/>
          <w:szCs w:val="24"/>
        </w:rPr>
        <w:t xml:space="preserve">, </w:t>
      </w:r>
      <w:proofErr w:type="spellStart"/>
      <w:r w:rsidRPr="00E30870">
        <w:rPr>
          <w:rFonts w:asciiTheme="majorBidi" w:hAnsiTheme="majorBidi" w:cstheme="majorBidi"/>
          <w:i/>
          <w:iCs/>
          <w:color w:val="000000" w:themeColor="text1"/>
          <w:sz w:val="24"/>
          <w:szCs w:val="24"/>
        </w:rPr>
        <w:t>Beauveria</w:t>
      </w:r>
      <w:proofErr w:type="spellEnd"/>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et</w:t>
      </w:r>
      <w:r w:rsidRPr="00E30870">
        <w:rPr>
          <w:rFonts w:asciiTheme="majorBidi" w:hAnsiTheme="majorBidi" w:cstheme="majorBidi"/>
          <w:i/>
          <w:iCs/>
          <w:color w:val="000000" w:themeColor="text1"/>
          <w:sz w:val="24"/>
          <w:szCs w:val="24"/>
        </w:rPr>
        <w:t xml:space="preserve"> Bacillus</w:t>
      </w:r>
      <w:r w:rsidRPr="00E30870">
        <w:rPr>
          <w:rFonts w:asciiTheme="majorBidi" w:hAnsiTheme="majorBidi" w:cstheme="majorBidi"/>
          <w:color w:val="000000" w:themeColor="text1"/>
          <w:sz w:val="24"/>
          <w:szCs w:val="24"/>
        </w:rPr>
        <w:t xml:space="preserve">, appliquées chaque semaine pour lutter contre </w:t>
      </w:r>
      <w:r w:rsidRPr="00E30870">
        <w:rPr>
          <w:rFonts w:asciiTheme="majorBidi" w:hAnsiTheme="majorBidi" w:cstheme="majorBidi"/>
          <w:i/>
          <w:iCs/>
          <w:color w:val="000000" w:themeColor="text1"/>
          <w:sz w:val="24"/>
          <w:szCs w:val="24"/>
        </w:rPr>
        <w:t xml:space="preserve">Botrytis </w:t>
      </w:r>
      <w:r w:rsidRPr="00E30870">
        <w:rPr>
          <w:rFonts w:asciiTheme="majorBidi" w:hAnsiTheme="majorBidi" w:cstheme="majorBidi"/>
          <w:color w:val="000000" w:themeColor="text1"/>
          <w:sz w:val="24"/>
          <w:szCs w:val="24"/>
        </w:rPr>
        <w:t xml:space="preserve">et autres pathogènes. Quand c’est nécessaire, l’huile de </w:t>
      </w:r>
      <w:proofErr w:type="spellStart"/>
      <w:r w:rsidRPr="00E30870">
        <w:rPr>
          <w:rFonts w:asciiTheme="majorBidi" w:hAnsiTheme="majorBidi" w:cstheme="majorBidi"/>
          <w:color w:val="000000" w:themeColor="text1"/>
          <w:sz w:val="24"/>
          <w:szCs w:val="24"/>
        </w:rPr>
        <w:t>neem</w:t>
      </w:r>
      <w:proofErr w:type="spellEnd"/>
      <w:r w:rsidRPr="00E30870">
        <w:rPr>
          <w:rFonts w:asciiTheme="majorBidi" w:hAnsiTheme="majorBidi" w:cstheme="majorBidi"/>
          <w:color w:val="000000" w:themeColor="text1"/>
          <w:sz w:val="24"/>
          <w:szCs w:val="24"/>
        </w:rPr>
        <w:t xml:space="preserve">, la propolis, le phosphite et autres biopesticides biochimiques sont utilisés. Un programme d’assainissement est maintenu dans la serre par </w:t>
      </w:r>
      <w:r w:rsidRPr="00E30870">
        <w:rPr>
          <w:rFonts w:asciiTheme="majorBidi" w:hAnsiTheme="majorBidi" w:cstheme="majorBidi"/>
          <w:color w:val="000000" w:themeColor="text1"/>
          <w:sz w:val="24"/>
          <w:szCs w:val="24"/>
        </w:rPr>
        <w:lastRenderedPageBreak/>
        <w:t>élimination des parties de plantes malades. Les pièges à phéromones et le contrôle d’humidité sont aussi utilisés. Actuellement, aucun pesticide chimique n’est utilisé, excep</w:t>
      </w:r>
      <w:r w:rsidR="0090756B" w:rsidRPr="00E30870">
        <w:rPr>
          <w:rFonts w:asciiTheme="majorBidi" w:hAnsiTheme="majorBidi" w:cstheme="majorBidi"/>
          <w:color w:val="000000" w:themeColor="text1"/>
          <w:sz w:val="24"/>
          <w:szCs w:val="24"/>
        </w:rPr>
        <w:t>tion faite pour l’insecticide «imidaclopride</w:t>
      </w:r>
      <w:r w:rsidRPr="00E30870">
        <w:rPr>
          <w:rFonts w:asciiTheme="majorBidi" w:hAnsiTheme="majorBidi" w:cstheme="majorBidi"/>
          <w:color w:val="000000" w:themeColor="text1"/>
          <w:sz w:val="24"/>
          <w:szCs w:val="24"/>
        </w:rPr>
        <w:t xml:space="preserve">». </w:t>
      </w:r>
      <w:r w:rsidR="0090756B" w:rsidRPr="00E30870">
        <w:rPr>
          <w:rFonts w:asciiTheme="majorBidi" w:hAnsiTheme="majorBidi" w:cstheme="majorBidi"/>
          <w:color w:val="000000" w:themeColor="text1"/>
          <w:sz w:val="24"/>
          <w:szCs w:val="24"/>
        </w:rPr>
        <w:t>Les</w:t>
      </w:r>
      <w:r w:rsidRPr="00E30870">
        <w:rPr>
          <w:rFonts w:asciiTheme="majorBidi" w:hAnsiTheme="majorBidi" w:cstheme="majorBidi"/>
          <w:color w:val="000000" w:themeColor="text1"/>
          <w:sz w:val="24"/>
          <w:szCs w:val="24"/>
        </w:rPr>
        <w:t xml:space="preserve"> </w:t>
      </w:r>
      <w:r w:rsidRPr="00E30870">
        <w:rPr>
          <w:rFonts w:asciiTheme="majorBidi" w:hAnsiTheme="majorBidi" w:cstheme="majorBidi"/>
          <w:sz w:val="24"/>
          <w:szCs w:val="24"/>
        </w:rPr>
        <w:t>coûts</w:t>
      </w:r>
      <w:r w:rsidRPr="00E30870">
        <w:rPr>
          <w:rFonts w:asciiTheme="majorBidi" w:hAnsiTheme="majorBidi" w:cstheme="majorBidi"/>
          <w:color w:val="000000" w:themeColor="text1"/>
          <w:sz w:val="24"/>
          <w:szCs w:val="24"/>
        </w:rPr>
        <w:t xml:space="preserve"> de contrôle </w:t>
      </w:r>
      <w:r w:rsidR="0090756B" w:rsidRPr="00E30870">
        <w:rPr>
          <w:rFonts w:asciiTheme="majorBidi" w:hAnsiTheme="majorBidi" w:cstheme="majorBidi"/>
          <w:color w:val="000000" w:themeColor="text1"/>
          <w:sz w:val="24"/>
          <w:szCs w:val="24"/>
        </w:rPr>
        <w:t>sont estimés à  3.00</w:t>
      </w:r>
      <w:r w:rsidR="007165A5" w:rsidRPr="00E30870">
        <w:rPr>
          <w:rFonts w:asciiTheme="majorBidi" w:hAnsiTheme="majorBidi" w:cstheme="majorBidi"/>
          <w:color w:val="000000" w:themeColor="text1"/>
          <w:sz w:val="24"/>
          <w:szCs w:val="24"/>
        </w:rPr>
        <w:t> </w:t>
      </w:r>
      <w:r w:rsidRPr="00E30870">
        <w:rPr>
          <w:rFonts w:asciiTheme="majorBidi" w:hAnsiTheme="majorBidi" w:cstheme="majorBidi"/>
          <w:color w:val="000000" w:themeColor="text1"/>
          <w:sz w:val="24"/>
          <w:szCs w:val="24"/>
        </w:rPr>
        <w:t>USD/m</w:t>
      </w:r>
      <w:r w:rsidRPr="00E30870">
        <w:rPr>
          <w:rFonts w:asciiTheme="majorBidi" w:hAnsiTheme="majorBidi" w:cstheme="majorBidi"/>
          <w:color w:val="000000" w:themeColor="text1"/>
          <w:sz w:val="24"/>
          <w:szCs w:val="24"/>
          <w:vertAlign w:val="superscript"/>
        </w:rPr>
        <w:t>2</w:t>
      </w:r>
      <w:r w:rsidRPr="00E30870">
        <w:rPr>
          <w:rFonts w:asciiTheme="majorBidi" w:hAnsiTheme="majorBidi" w:cstheme="majorBidi"/>
          <w:color w:val="000000" w:themeColor="text1"/>
          <w:sz w:val="24"/>
          <w:szCs w:val="24"/>
        </w:rPr>
        <w:t xml:space="preserve">. Le succès de ce programme n’était pas seulement grâce à la substitution des pesticides chimiques par des biopesticides, mais également par considération de différentes pratiques culturelles (Wit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2009). </w:t>
      </w:r>
    </w:p>
    <w:p w:rsidR="00534C26" w:rsidRPr="00E30870" w:rsidRDefault="00534C26" w:rsidP="00001558">
      <w:pPr>
        <w:shd w:val="clear" w:color="auto" w:fill="FFFFFF"/>
        <w:spacing w:before="240" w:after="360" w:line="360" w:lineRule="auto"/>
        <w:ind w:right="242"/>
        <w:jc w:val="both"/>
        <w:textAlignment w:val="baseline"/>
        <w:rPr>
          <w:rFonts w:asciiTheme="majorBidi" w:eastAsia="Times New Roman" w:hAnsiTheme="majorBidi" w:cstheme="majorBidi"/>
          <w:color w:val="000000" w:themeColor="text1"/>
          <w:sz w:val="24"/>
          <w:szCs w:val="24"/>
          <w:lang w:eastAsia="fr-FR"/>
        </w:rPr>
      </w:pPr>
      <w:r w:rsidRPr="00E30870">
        <w:rPr>
          <w:rFonts w:asciiTheme="majorBidi" w:hAnsiTheme="majorBidi" w:cstheme="majorBidi"/>
          <w:color w:val="000000" w:themeColor="text1"/>
          <w:sz w:val="24"/>
          <w:szCs w:val="24"/>
        </w:rPr>
        <w:t xml:space="preserve">Une application efficace d’un biopesticide nécessite d’autres facteurs qu’ils doivent être respectés et qu’on trouve dans l’étiquette du produit. </w:t>
      </w:r>
      <w:r w:rsidRPr="00E30870">
        <w:rPr>
          <w:rFonts w:asciiTheme="majorBidi" w:eastAsia="Times New Roman" w:hAnsiTheme="majorBidi" w:cstheme="majorBidi"/>
          <w:color w:val="000000" w:themeColor="text1"/>
          <w:sz w:val="24"/>
          <w:szCs w:val="24"/>
          <w:lang w:eastAsia="fr-FR"/>
        </w:rPr>
        <w:t>Ceci inclu</w:t>
      </w:r>
      <w:r w:rsidR="00001558" w:rsidRPr="00E30870">
        <w:rPr>
          <w:rFonts w:asciiTheme="majorBidi" w:eastAsia="Times New Roman" w:hAnsiTheme="majorBidi" w:cstheme="majorBidi"/>
          <w:color w:val="000000" w:themeColor="text1"/>
          <w:sz w:val="24"/>
          <w:szCs w:val="24"/>
          <w:lang w:eastAsia="fr-FR"/>
        </w:rPr>
        <w:t>t</w:t>
      </w:r>
      <w:r w:rsidRPr="00E30870">
        <w:rPr>
          <w:rFonts w:asciiTheme="majorBidi" w:eastAsia="Times New Roman" w:hAnsiTheme="majorBidi" w:cstheme="majorBidi"/>
          <w:color w:val="000000" w:themeColor="text1"/>
          <w:sz w:val="24"/>
          <w:szCs w:val="24"/>
          <w:lang w:eastAsia="fr-FR"/>
        </w:rPr>
        <w:t>, le pH et température de la solution microbienne préparée, les conditions de stockage, le temps d’application et le nombre de répétitions, la durée de conservation et la compatibilité avec d’autres produits</w:t>
      </w:r>
      <w:r w:rsidRPr="00E30870">
        <w:rPr>
          <w:rFonts w:asciiTheme="majorBidi" w:hAnsiTheme="majorBidi" w:cstheme="majorBidi"/>
          <w:color w:val="000000" w:themeColor="text1"/>
          <w:sz w:val="24"/>
          <w:szCs w:val="24"/>
          <w:shd w:val="clear" w:color="auto" w:fill="FFFFFF"/>
        </w:rPr>
        <w:t xml:space="preserve"> (</w:t>
      </w:r>
      <w:proofErr w:type="spellStart"/>
      <w:r w:rsidRPr="00E30870">
        <w:rPr>
          <w:rFonts w:asciiTheme="majorBidi" w:hAnsiTheme="majorBidi" w:cstheme="majorBidi"/>
          <w:color w:val="000000" w:themeColor="text1"/>
          <w:sz w:val="24"/>
          <w:szCs w:val="24"/>
          <w:shd w:val="clear" w:color="auto" w:fill="FFFFFF"/>
        </w:rPr>
        <w:t>Filotas</w:t>
      </w:r>
      <w:proofErr w:type="spellEnd"/>
      <w:r w:rsidRPr="00E30870">
        <w:rPr>
          <w:rFonts w:asciiTheme="majorBidi" w:hAnsiTheme="majorBidi" w:cstheme="majorBidi"/>
          <w:color w:val="000000" w:themeColor="text1"/>
          <w:sz w:val="24"/>
          <w:szCs w:val="24"/>
          <w:shd w:val="clear" w:color="auto" w:fill="FFFFFF"/>
        </w:rPr>
        <w:t>, 2010).</w:t>
      </w:r>
    </w:p>
    <w:p w:rsidR="00534C26" w:rsidRPr="00E30870" w:rsidRDefault="00935338" w:rsidP="00C76691">
      <w:pPr>
        <w:pStyle w:val="Default"/>
        <w:spacing w:before="100" w:beforeAutospacing="1" w:after="100" w:afterAutospacing="1" w:line="360" w:lineRule="auto"/>
        <w:jc w:val="both"/>
        <w:outlineLvl w:val="1"/>
        <w:rPr>
          <w:rFonts w:asciiTheme="majorBidi" w:eastAsia="Times New Roman" w:hAnsiTheme="majorBidi" w:cstheme="majorBidi"/>
          <w:b/>
          <w:bCs/>
          <w:color w:val="000000" w:themeColor="text1"/>
          <w:lang w:eastAsia="fr-FR"/>
        </w:rPr>
      </w:pPr>
      <w:r w:rsidRPr="00E30870">
        <w:rPr>
          <w:rFonts w:asciiTheme="majorBidi" w:hAnsiTheme="majorBidi" w:cstheme="majorBidi"/>
          <w:b/>
          <w:bCs/>
          <w:color w:val="000000" w:themeColor="text1"/>
        </w:rPr>
        <w:t>2.7.</w:t>
      </w:r>
      <w:r w:rsidR="00C76691" w:rsidRPr="00E30870">
        <w:rPr>
          <w:rFonts w:asciiTheme="majorBidi" w:hAnsiTheme="majorBidi" w:cstheme="majorBidi"/>
          <w:b/>
          <w:bCs/>
          <w:color w:val="000000" w:themeColor="text1"/>
        </w:rPr>
        <w:t>2</w:t>
      </w:r>
      <w:r w:rsidRPr="00E30870">
        <w:rPr>
          <w:rFonts w:asciiTheme="majorBidi" w:hAnsiTheme="majorBidi" w:cstheme="majorBidi"/>
          <w:b/>
          <w:bCs/>
          <w:color w:val="000000" w:themeColor="text1"/>
        </w:rPr>
        <w:t xml:space="preserve">- </w:t>
      </w:r>
      <w:r w:rsidR="00534C26" w:rsidRPr="00E30870">
        <w:rPr>
          <w:rFonts w:asciiTheme="majorBidi" w:hAnsiTheme="majorBidi" w:cstheme="majorBidi"/>
          <w:b/>
          <w:bCs/>
          <w:color w:val="000000" w:themeColor="text1"/>
        </w:rPr>
        <w:t>Bref aperçu sur l’alimentation biologique</w:t>
      </w:r>
    </w:p>
    <w:p w:rsidR="005F1EBD" w:rsidRPr="00E30870" w:rsidRDefault="00534C26" w:rsidP="00173133">
      <w:pPr>
        <w:pStyle w:val="Default"/>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rPr>
        <w:t xml:space="preserve">Fin 2010, 9.3 millions d’hectares (y compris les surfaces en conversion) ont été cultivés par 219 555 exploitations selon le </w:t>
      </w:r>
      <w:r w:rsidR="007A4385" w:rsidRPr="00E30870">
        <w:rPr>
          <w:rFonts w:asciiTheme="majorBidi" w:hAnsiTheme="majorBidi" w:cstheme="majorBidi"/>
          <w:color w:val="000000" w:themeColor="text1"/>
        </w:rPr>
        <w:t>mode de production biologique</w:t>
      </w:r>
      <w:r w:rsidRPr="00E30870">
        <w:rPr>
          <w:rFonts w:asciiTheme="majorBidi" w:hAnsiTheme="majorBidi" w:cstheme="majorBidi"/>
          <w:color w:val="000000" w:themeColor="text1"/>
        </w:rPr>
        <w:t xml:space="preserve"> dans les 27 Etats Membres de l’Union Européenne et l’agriculture biologique représentait 5.1% de la sup</w:t>
      </w:r>
      <w:r w:rsidR="007A4385" w:rsidRPr="00E30870">
        <w:rPr>
          <w:rFonts w:asciiTheme="majorBidi" w:hAnsiTheme="majorBidi" w:cstheme="majorBidi"/>
          <w:color w:val="000000" w:themeColor="text1"/>
        </w:rPr>
        <w:t>erficie agricole utilisée (SAU) en Europ</w:t>
      </w:r>
      <w:r w:rsidRPr="00E30870">
        <w:rPr>
          <w:rFonts w:asciiTheme="majorBidi" w:hAnsiTheme="majorBidi" w:cstheme="majorBidi"/>
          <w:color w:val="000000" w:themeColor="text1"/>
        </w:rPr>
        <w:t xml:space="preserve">e. En outre, les 2/3 </w:t>
      </w:r>
      <w:r w:rsidR="00173133" w:rsidRPr="00E30870">
        <w:rPr>
          <w:rFonts w:asciiTheme="majorBidi" w:hAnsiTheme="majorBidi" w:cstheme="majorBidi"/>
          <w:color w:val="000000" w:themeColor="text1"/>
        </w:rPr>
        <w:t>des surfaces bios</w:t>
      </w:r>
      <w:r w:rsidRPr="00E30870">
        <w:rPr>
          <w:rFonts w:asciiTheme="majorBidi" w:hAnsiTheme="majorBidi" w:cstheme="majorBidi"/>
          <w:color w:val="000000" w:themeColor="text1"/>
        </w:rPr>
        <w:t xml:space="preserve"> de l’UE se situaient en Espagne, Italie, Allemagne, France, Royaume Uni e</w:t>
      </w:r>
      <w:r w:rsidR="00173133" w:rsidRPr="00E30870">
        <w:rPr>
          <w:rFonts w:asciiTheme="majorBidi" w:hAnsiTheme="majorBidi" w:cstheme="majorBidi"/>
          <w:color w:val="000000" w:themeColor="text1"/>
        </w:rPr>
        <w:t>t Autriche. Cette surface bio a</w:t>
      </w:r>
      <w:r w:rsidRPr="00E30870">
        <w:rPr>
          <w:rFonts w:asciiTheme="majorBidi" w:hAnsiTheme="majorBidi" w:cstheme="majorBidi"/>
          <w:color w:val="000000" w:themeColor="text1"/>
        </w:rPr>
        <w:t xml:space="preserve"> en moyenne, augmenté de 6.1% en</w:t>
      </w:r>
      <w:r w:rsidR="005F1EBD" w:rsidRPr="00E30870">
        <w:rPr>
          <w:rFonts w:asciiTheme="majorBidi" w:hAnsiTheme="majorBidi" w:cstheme="majorBidi"/>
          <w:color w:val="000000" w:themeColor="text1"/>
        </w:rPr>
        <w:t xml:space="preserve"> 2011 et de 10.8% en 2012 (</w:t>
      </w:r>
      <w:r w:rsidRPr="00E30870">
        <w:rPr>
          <w:rFonts w:asciiTheme="majorBidi" w:hAnsiTheme="majorBidi" w:cstheme="majorBidi"/>
          <w:color w:val="000000" w:themeColor="text1"/>
        </w:rPr>
        <w:t>IFOAM, 2012; Anonyme 8).</w:t>
      </w:r>
    </w:p>
    <w:p w:rsidR="00534C26" w:rsidRPr="00E30870" w:rsidRDefault="00534C26" w:rsidP="00173133">
      <w:pPr>
        <w:pStyle w:val="Default"/>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rPr>
        <w:t xml:space="preserve"> La plus grande partie des surfaces agricoles biologiques mondiales se trouvent en Océanie (30%) suivie de l’Europe (25%) et de l’Amérique l</w:t>
      </w:r>
      <w:r w:rsidR="008775F7" w:rsidRPr="00E30870">
        <w:rPr>
          <w:rFonts w:asciiTheme="majorBidi" w:hAnsiTheme="majorBidi" w:cstheme="majorBidi"/>
          <w:color w:val="000000" w:themeColor="text1"/>
        </w:rPr>
        <w:t>atine (23%) (Abdellaoui, 2012).</w:t>
      </w:r>
      <w:r w:rsidRPr="00E30870">
        <w:rPr>
          <w:rFonts w:asciiTheme="majorBidi" w:hAnsiTheme="majorBidi" w:cstheme="majorBidi"/>
          <w:color w:val="000000" w:themeColor="text1"/>
        </w:rPr>
        <w:t xml:space="preserve"> À l'échelle mondiale, environ 37.2 millions d'hectares de terres agricoles sont certifiées selon les normes de l'agriculture biologique, et il y a environ 1,8 million de producteurs d'aliments biologiques certifiés (AAC, 2013). </w:t>
      </w:r>
    </w:p>
    <w:p w:rsidR="00534C26" w:rsidRPr="00E30870" w:rsidRDefault="00534C26" w:rsidP="00534C26">
      <w:pPr>
        <w:pStyle w:val="Default"/>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rPr>
        <w:t xml:space="preserve">Le marché mondial des produits biologiques, qui était auparavant un marché à créneaux à petite échelle, a atteint une valeur de presque 63 milliards USD en 2011 (Anonyme 9). L’ouverture des marchés occidentaux a fourni des débouchés aux agriculteurs du Sud, pour lesquels la transition en culture biologique représente une opportunité de développement qui leur permet d’atteindre une meilleure rentabilité (CTB, 2009). La surface des terrains agricoles bio en Afrique et en Amérique latine, a ainsi atteint 9.5 millions d’hectares, cultivés dans 815 mille exploitations agricoles (figure7-a) et gérés par environ 61.8% de l’ensemble des agriculteurs bio du monde (figure 7-b). </w:t>
      </w:r>
    </w:p>
    <w:p w:rsidR="00534C26" w:rsidRPr="00E30870" w:rsidRDefault="00F83B7D" w:rsidP="00B570A4">
      <w:pPr>
        <w:pStyle w:val="Default"/>
        <w:spacing w:line="360" w:lineRule="auto"/>
        <w:jc w:val="center"/>
        <w:rPr>
          <w:rFonts w:asciiTheme="majorBidi" w:hAnsiTheme="majorBidi" w:cstheme="majorBidi"/>
          <w:noProof/>
          <w:color w:val="000000" w:themeColor="text1"/>
          <w:sz w:val="22"/>
          <w:szCs w:val="22"/>
          <w:lang w:eastAsia="fr-FR"/>
        </w:rPr>
      </w:pPr>
      <w:r>
        <w:rPr>
          <w:rFonts w:asciiTheme="majorBidi" w:hAnsiTheme="majorBidi" w:cstheme="majorBidi"/>
          <w:noProof/>
          <w:color w:val="000000" w:themeColor="text1"/>
          <w:sz w:val="22"/>
          <w:szCs w:val="22"/>
        </w:rPr>
        <w:lastRenderedPageBreak/>
        <w:pict>
          <v:shape id="_x0000_s1032" type="#_x0000_t202" style="position:absolute;left:0;text-align:left;margin-left:22.1pt;margin-top:518.15pt;width:417.6pt;height:60.5pt;z-index:251666432;mso-width-relative:margin;mso-height-relative:margin" stroked="f">
            <v:textbox>
              <w:txbxContent>
                <w:p w:rsidR="00534C26" w:rsidRPr="00B470DC" w:rsidRDefault="00534C26" w:rsidP="00534C26">
                  <w:pPr>
                    <w:spacing w:line="360" w:lineRule="auto"/>
                    <w:jc w:val="both"/>
                    <w:rPr>
                      <w:rFonts w:asciiTheme="majorBidi" w:hAnsiTheme="majorBidi" w:cstheme="majorBidi"/>
                    </w:rPr>
                  </w:pPr>
                  <w:r w:rsidRPr="00B470DC">
                    <w:rPr>
                      <w:rFonts w:asciiTheme="majorBidi" w:hAnsiTheme="majorBidi" w:cstheme="majorBidi"/>
                      <w:b/>
                      <w:bCs/>
                    </w:rPr>
                    <w:t>Figure</w:t>
                  </w:r>
                  <w:r>
                    <w:rPr>
                      <w:rFonts w:asciiTheme="majorBidi" w:hAnsiTheme="majorBidi" w:cstheme="majorBidi"/>
                      <w:b/>
                      <w:bCs/>
                    </w:rPr>
                    <w:tab/>
                    <w:t xml:space="preserve">7 </w:t>
                  </w:r>
                  <w:r w:rsidRPr="003C59C0">
                    <w:rPr>
                      <w:rFonts w:asciiTheme="majorBidi" w:hAnsiTheme="majorBidi" w:cstheme="majorBidi"/>
                    </w:rPr>
                    <w:t>(a)</w:t>
                  </w:r>
                  <w:r>
                    <w:rPr>
                      <w:rFonts w:asciiTheme="majorBidi" w:hAnsiTheme="majorBidi" w:cstheme="majorBidi"/>
                      <w:b/>
                      <w:bCs/>
                    </w:rPr>
                    <w:t xml:space="preserve"> </w:t>
                  </w:r>
                  <w:r w:rsidRPr="00B470DC">
                    <w:rPr>
                      <w:rFonts w:asciiTheme="majorBidi" w:hAnsiTheme="majorBidi" w:cstheme="majorBidi"/>
                    </w:rPr>
                    <w:t xml:space="preserve">La répartition et la surface des terrains agricoles bio (en millions d’hectares) et le nombre d’exploitations bio (en </w:t>
                  </w:r>
                  <w:r>
                    <w:rPr>
                      <w:rFonts w:asciiTheme="majorBidi" w:hAnsiTheme="majorBidi" w:cstheme="majorBidi"/>
                    </w:rPr>
                    <w:t>mi</w:t>
                  </w:r>
                  <w:r w:rsidR="00085620">
                    <w:rPr>
                      <w:rFonts w:asciiTheme="majorBidi" w:hAnsiTheme="majorBidi" w:cstheme="majorBidi"/>
                    </w:rPr>
                    <w:t xml:space="preserve">lliers) dans le monde. Source: </w:t>
                  </w:r>
                  <w:r w:rsidRPr="00B470DC">
                    <w:rPr>
                      <w:rFonts w:asciiTheme="majorBidi" w:hAnsiTheme="majorBidi" w:cstheme="majorBidi"/>
                    </w:rPr>
                    <w:t>IFOAM</w:t>
                  </w:r>
                  <w:r>
                    <w:rPr>
                      <w:rFonts w:asciiTheme="majorBidi" w:hAnsiTheme="majorBidi" w:cstheme="majorBidi"/>
                    </w:rPr>
                    <w:t>, 2012</w:t>
                  </w:r>
                  <w:r w:rsidRPr="003C59C0">
                    <w:rPr>
                      <w:rFonts w:asciiTheme="majorBidi" w:hAnsiTheme="majorBidi" w:cstheme="majorBidi"/>
                    </w:rPr>
                    <w:t>; (b)</w:t>
                  </w:r>
                  <w:r w:rsidRPr="00D11307">
                    <w:rPr>
                      <w:rFonts w:asciiTheme="majorBidi" w:hAnsiTheme="majorBidi" w:cstheme="majorBidi"/>
                    </w:rPr>
                    <w:t xml:space="preserve"> </w:t>
                  </w:r>
                  <w:r w:rsidRPr="00B470DC">
                    <w:rPr>
                      <w:rFonts w:asciiTheme="majorBidi" w:hAnsiTheme="majorBidi" w:cstheme="majorBidi"/>
                    </w:rPr>
                    <w:t xml:space="preserve">Répartition des agriculteurs bio dans le monde. </w:t>
                  </w:r>
                  <w:r w:rsidR="00141077">
                    <w:rPr>
                      <w:rFonts w:asciiTheme="majorBidi" w:hAnsiTheme="majorBidi" w:cstheme="majorBidi"/>
                    </w:rPr>
                    <w:t>Source</w:t>
                  </w:r>
                  <w:r>
                    <w:rPr>
                      <w:rFonts w:asciiTheme="majorBidi" w:hAnsiTheme="majorBidi" w:cstheme="majorBidi"/>
                    </w:rPr>
                    <w:t xml:space="preserve">: Anonyme 6 </w:t>
                  </w:r>
                </w:p>
                <w:p w:rsidR="00534C26" w:rsidRPr="00B470DC" w:rsidRDefault="00534C26" w:rsidP="00534C26">
                  <w:pPr>
                    <w:jc w:val="both"/>
                    <w:rPr>
                      <w:rFonts w:asciiTheme="majorBidi" w:hAnsiTheme="majorBidi" w:cstheme="majorBidi"/>
                    </w:rPr>
                  </w:pPr>
                </w:p>
              </w:txbxContent>
            </v:textbox>
          </v:shape>
        </w:pict>
      </w:r>
      <w:r w:rsidR="00534C26" w:rsidRPr="00E30870">
        <w:rPr>
          <w:rFonts w:asciiTheme="majorBidi" w:hAnsiTheme="majorBidi" w:cstheme="majorBidi"/>
          <w:noProof/>
          <w:color w:val="000000" w:themeColor="text1"/>
          <w:sz w:val="22"/>
          <w:szCs w:val="22"/>
          <w:lang w:eastAsia="fr-FR"/>
        </w:rPr>
        <w:drawing>
          <wp:inline distT="0" distB="0" distL="0" distR="0">
            <wp:extent cx="5210273" cy="6547026"/>
            <wp:effectExtent l="19050" t="0" r="9427"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217393" cy="6555973"/>
                    </a:xfrm>
                    <a:prstGeom prst="rect">
                      <a:avLst/>
                    </a:prstGeom>
                    <a:noFill/>
                    <a:ln w="9525">
                      <a:noFill/>
                      <a:miter lim="800000"/>
                      <a:headEnd/>
                      <a:tailEnd/>
                    </a:ln>
                  </pic:spPr>
                </pic:pic>
              </a:graphicData>
            </a:graphic>
          </wp:inline>
        </w:drawing>
      </w:r>
    </w:p>
    <w:p w:rsidR="00534C26" w:rsidRPr="00E30870" w:rsidRDefault="00534C26" w:rsidP="00534C26">
      <w:pPr>
        <w:pStyle w:val="Default"/>
        <w:spacing w:line="360" w:lineRule="auto"/>
        <w:jc w:val="both"/>
        <w:rPr>
          <w:rFonts w:asciiTheme="majorBidi" w:hAnsiTheme="majorBidi" w:cstheme="majorBidi"/>
          <w:noProof/>
          <w:color w:val="000000" w:themeColor="text1"/>
          <w:sz w:val="22"/>
          <w:szCs w:val="22"/>
          <w:lang w:eastAsia="fr-FR"/>
        </w:rPr>
      </w:pPr>
    </w:p>
    <w:p w:rsidR="00534C26" w:rsidRPr="00E30870" w:rsidRDefault="00534C26" w:rsidP="00534C26">
      <w:pPr>
        <w:pStyle w:val="Default"/>
        <w:spacing w:line="360" w:lineRule="auto"/>
        <w:jc w:val="both"/>
        <w:rPr>
          <w:rFonts w:asciiTheme="majorBidi" w:hAnsiTheme="majorBidi" w:cstheme="majorBidi"/>
          <w:noProof/>
          <w:color w:val="000000" w:themeColor="text1"/>
          <w:sz w:val="22"/>
          <w:szCs w:val="22"/>
          <w:lang w:eastAsia="fr-FR"/>
        </w:rPr>
      </w:pPr>
    </w:p>
    <w:p w:rsidR="00534C26" w:rsidRPr="00E30870" w:rsidRDefault="00534C26" w:rsidP="00534C26">
      <w:pPr>
        <w:pStyle w:val="Default"/>
        <w:spacing w:line="360" w:lineRule="auto"/>
        <w:jc w:val="both"/>
        <w:rPr>
          <w:rFonts w:asciiTheme="majorBidi" w:hAnsiTheme="majorBidi" w:cstheme="majorBidi"/>
          <w:noProof/>
          <w:color w:val="000000" w:themeColor="text1"/>
          <w:sz w:val="22"/>
          <w:szCs w:val="22"/>
          <w:lang w:eastAsia="fr-FR"/>
        </w:rPr>
      </w:pPr>
    </w:p>
    <w:p w:rsidR="004B69EE" w:rsidRPr="00E30870" w:rsidRDefault="004B69EE" w:rsidP="00534C26">
      <w:pPr>
        <w:spacing w:line="360" w:lineRule="auto"/>
        <w:jc w:val="both"/>
        <w:rPr>
          <w:rFonts w:asciiTheme="majorBidi" w:hAnsiTheme="majorBidi" w:cstheme="majorBidi"/>
          <w:noProof/>
          <w:color w:val="000000" w:themeColor="text1"/>
          <w:lang w:eastAsia="fr-FR"/>
        </w:rPr>
      </w:pPr>
    </w:p>
    <w:p w:rsidR="00534C26" w:rsidRPr="00E30870" w:rsidRDefault="00534C26" w:rsidP="00534C26">
      <w:pPr>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sz w:val="24"/>
          <w:szCs w:val="24"/>
        </w:rPr>
        <w:t xml:space="preserve">En Algérie, la superficie totale des terres agricoles bio a atteint 1118.2 hectares répartis dans 59 exploitations. Ces dernières se localisent dans les régions de Mascara, Relizane, Mila et Biskra. Les aliments bio produits sont commercialisés par plusieurs sociétés à savoir: ONCV (vin), SAEX (olive de table et huile d’olive), </w:t>
      </w:r>
      <w:proofErr w:type="spellStart"/>
      <w:r w:rsidRPr="00E30870">
        <w:rPr>
          <w:rFonts w:asciiTheme="majorBidi" w:hAnsiTheme="majorBidi" w:cstheme="majorBidi"/>
          <w:color w:val="000000" w:themeColor="text1"/>
          <w:sz w:val="24"/>
          <w:szCs w:val="24"/>
        </w:rPr>
        <w:t>Ass</w:t>
      </w:r>
      <w:proofErr w:type="spellEnd"/>
      <w:r w:rsidRPr="00E30870">
        <w:rPr>
          <w:rFonts w:asciiTheme="majorBidi" w:hAnsiTheme="majorBidi" w:cstheme="majorBidi"/>
          <w:color w:val="000000" w:themeColor="text1"/>
          <w:sz w:val="24"/>
          <w:szCs w:val="24"/>
        </w:rPr>
        <w:t xml:space="preserve"> producteur bio et Sarl </w:t>
      </w:r>
      <w:proofErr w:type="spellStart"/>
      <w:r w:rsidRPr="00E30870">
        <w:rPr>
          <w:rFonts w:asciiTheme="majorBidi" w:hAnsiTheme="majorBidi" w:cstheme="majorBidi"/>
          <w:color w:val="000000" w:themeColor="text1"/>
          <w:sz w:val="24"/>
          <w:szCs w:val="24"/>
        </w:rPr>
        <w:t>Bionour</w:t>
      </w:r>
      <w:proofErr w:type="spellEnd"/>
      <w:r w:rsidRPr="00E30870">
        <w:rPr>
          <w:rFonts w:asciiTheme="majorBidi" w:hAnsiTheme="majorBidi" w:cstheme="majorBidi"/>
          <w:color w:val="000000" w:themeColor="text1"/>
          <w:sz w:val="24"/>
          <w:szCs w:val="24"/>
        </w:rPr>
        <w:t xml:space="preserve"> (dattes </w:t>
      </w:r>
      <w:proofErr w:type="spellStart"/>
      <w:r w:rsidRPr="00E30870">
        <w:rPr>
          <w:rFonts w:asciiTheme="majorBidi" w:hAnsiTheme="majorBidi" w:cstheme="majorBidi"/>
          <w:color w:val="000000" w:themeColor="text1"/>
          <w:sz w:val="24"/>
          <w:szCs w:val="24"/>
        </w:rPr>
        <w:lastRenderedPageBreak/>
        <w:t>Deglet</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Nour</w:t>
      </w:r>
      <w:proofErr w:type="spellEnd"/>
      <w:r w:rsidRPr="00E30870">
        <w:rPr>
          <w:rFonts w:asciiTheme="majorBidi" w:hAnsiTheme="majorBidi" w:cstheme="majorBidi"/>
          <w:color w:val="000000" w:themeColor="text1"/>
          <w:sz w:val="24"/>
          <w:szCs w:val="24"/>
        </w:rPr>
        <w:t xml:space="preserve">) et Sarl </w:t>
      </w:r>
      <w:proofErr w:type="spellStart"/>
      <w:r w:rsidRPr="00E30870">
        <w:rPr>
          <w:rFonts w:asciiTheme="majorBidi" w:hAnsiTheme="majorBidi" w:cstheme="majorBidi"/>
          <w:color w:val="000000" w:themeColor="text1"/>
          <w:sz w:val="24"/>
          <w:szCs w:val="24"/>
        </w:rPr>
        <w:t>Biodatt</w:t>
      </w:r>
      <w:proofErr w:type="spellEnd"/>
      <w:r w:rsidRPr="00E30870">
        <w:rPr>
          <w:rFonts w:asciiTheme="majorBidi" w:hAnsiTheme="majorBidi" w:cstheme="majorBidi"/>
          <w:color w:val="000000" w:themeColor="text1"/>
          <w:sz w:val="24"/>
          <w:szCs w:val="24"/>
        </w:rPr>
        <w:t xml:space="preserve"> (dattes et fruits). Plusieurs organismes certificateurs contrôlent la qualité des produits bio Algériens, tels qu’</w:t>
      </w:r>
      <w:proofErr w:type="spellStart"/>
      <w:r w:rsidRPr="00E30870">
        <w:rPr>
          <w:rFonts w:asciiTheme="majorBidi" w:hAnsiTheme="majorBidi" w:cstheme="majorBidi"/>
          <w:color w:val="000000" w:themeColor="text1"/>
          <w:sz w:val="24"/>
          <w:szCs w:val="24"/>
        </w:rPr>
        <w:t>Ecocert</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tunisie</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Ecocert</w:t>
      </w:r>
      <w:proofErr w:type="spellEnd"/>
      <w:r w:rsidRPr="00E30870">
        <w:rPr>
          <w:rFonts w:asciiTheme="majorBidi" w:hAnsiTheme="majorBidi" w:cstheme="majorBidi"/>
          <w:color w:val="000000" w:themeColor="text1"/>
          <w:sz w:val="24"/>
          <w:szCs w:val="24"/>
        </w:rPr>
        <w:t xml:space="preserve"> (Roumanie), </w:t>
      </w:r>
      <w:proofErr w:type="spellStart"/>
      <w:r w:rsidRPr="00E30870">
        <w:rPr>
          <w:rFonts w:asciiTheme="majorBidi" w:hAnsiTheme="majorBidi" w:cstheme="majorBidi"/>
          <w:color w:val="000000" w:themeColor="text1"/>
          <w:sz w:val="24"/>
          <w:szCs w:val="24"/>
        </w:rPr>
        <w:t>Ecocert</w:t>
      </w:r>
      <w:proofErr w:type="spellEnd"/>
      <w:r w:rsidRPr="00E30870">
        <w:rPr>
          <w:rFonts w:asciiTheme="majorBidi" w:hAnsiTheme="majorBidi" w:cstheme="majorBidi"/>
          <w:color w:val="000000" w:themeColor="text1"/>
          <w:sz w:val="24"/>
          <w:szCs w:val="24"/>
        </w:rPr>
        <w:t xml:space="preserve"> et qualité </w:t>
      </w:r>
      <w:r w:rsidR="004B69EE" w:rsidRPr="00E30870">
        <w:rPr>
          <w:rFonts w:asciiTheme="majorBidi" w:hAnsiTheme="majorBidi" w:cstheme="majorBidi"/>
          <w:color w:val="000000" w:themeColor="text1"/>
          <w:sz w:val="24"/>
          <w:szCs w:val="24"/>
        </w:rPr>
        <w:t>(France)</w:t>
      </w:r>
      <w:r w:rsidRPr="00E30870">
        <w:rPr>
          <w:rFonts w:asciiTheme="majorBidi" w:hAnsiTheme="majorBidi" w:cstheme="majorBidi"/>
          <w:color w:val="000000" w:themeColor="text1"/>
          <w:sz w:val="24"/>
          <w:szCs w:val="24"/>
        </w:rPr>
        <w:t xml:space="preserve"> (figure </w:t>
      </w:r>
      <w:r w:rsidRPr="00E30870">
        <w:rPr>
          <w:rFonts w:asciiTheme="majorBidi" w:hAnsiTheme="majorBidi" w:cstheme="majorBidi"/>
          <w:color w:val="000000" w:themeColor="text1"/>
        </w:rPr>
        <w:t>8</w:t>
      </w:r>
      <w:r w:rsidRPr="00E30870">
        <w:rPr>
          <w:rFonts w:asciiTheme="majorBidi" w:hAnsiTheme="majorBidi" w:cstheme="majorBidi"/>
          <w:color w:val="000000" w:themeColor="text1"/>
          <w:sz w:val="24"/>
          <w:szCs w:val="24"/>
        </w:rPr>
        <w:t xml:space="preserve">). </w:t>
      </w:r>
    </w:p>
    <w:p w:rsidR="00534C26" w:rsidRPr="00E30870" w:rsidRDefault="00F83B7D" w:rsidP="004B69EE">
      <w:pPr>
        <w:pStyle w:val="Default"/>
        <w:spacing w:before="100" w:beforeAutospacing="1" w:after="100" w:afterAutospacing="1" w:line="360" w:lineRule="auto"/>
        <w:jc w:val="center"/>
        <w:outlineLvl w:val="1"/>
        <w:rPr>
          <w:rFonts w:asciiTheme="majorBidi" w:hAnsiTheme="majorBidi" w:cstheme="majorBidi"/>
          <w:color w:val="000000" w:themeColor="text1"/>
          <w:sz w:val="22"/>
          <w:szCs w:val="22"/>
        </w:rPr>
      </w:pPr>
      <w:r>
        <w:rPr>
          <w:rFonts w:asciiTheme="majorBidi" w:hAnsiTheme="majorBidi" w:cstheme="majorBidi"/>
          <w:noProof/>
          <w:color w:val="000000" w:themeColor="text1"/>
          <w:sz w:val="22"/>
          <w:szCs w:val="22"/>
        </w:rPr>
        <w:pict>
          <v:shape id="_x0000_s1033" type="#_x0000_t202" style="position:absolute;left:0;text-align:left;margin-left:8.5pt;margin-top:241.85pt;width:433.9pt;height:35.05pt;z-index:251667456;mso-width-relative:margin;mso-height-relative:margin" stroked="f">
            <v:textbox>
              <w:txbxContent>
                <w:p w:rsidR="00534C26" w:rsidRPr="00B470DC" w:rsidRDefault="00534C26" w:rsidP="00534C26">
                  <w:pPr>
                    <w:jc w:val="both"/>
                    <w:rPr>
                      <w:rFonts w:asciiTheme="majorBidi" w:hAnsiTheme="majorBidi" w:cstheme="majorBidi"/>
                    </w:rPr>
                  </w:pPr>
                  <w:r w:rsidRPr="00B470DC">
                    <w:rPr>
                      <w:rFonts w:asciiTheme="majorBidi" w:hAnsiTheme="majorBidi" w:cstheme="majorBidi"/>
                      <w:b/>
                      <w:bCs/>
                    </w:rPr>
                    <w:t>Figure</w:t>
                  </w:r>
                  <w:r>
                    <w:rPr>
                      <w:rFonts w:asciiTheme="majorBidi" w:hAnsiTheme="majorBidi" w:cstheme="majorBidi"/>
                      <w:b/>
                      <w:bCs/>
                    </w:rPr>
                    <w:t xml:space="preserve"> </w:t>
                  </w:r>
                  <w:r>
                    <w:rPr>
                      <w:rFonts w:asciiTheme="majorBidi" w:hAnsiTheme="majorBidi" w:cstheme="majorBidi"/>
                    </w:rPr>
                    <w:t xml:space="preserve">8 </w:t>
                  </w:r>
                  <w:r w:rsidRPr="00B470DC">
                    <w:rPr>
                      <w:rFonts w:asciiTheme="majorBidi" w:hAnsiTheme="majorBidi" w:cstheme="majorBidi"/>
                    </w:rPr>
                    <w:t>La superficie des terrains agricoles bio</w:t>
                  </w:r>
                  <w:r w:rsidR="00AB2E70">
                    <w:rPr>
                      <w:rFonts w:asciiTheme="majorBidi" w:hAnsiTheme="majorBidi" w:cstheme="majorBidi"/>
                    </w:rPr>
                    <w:t>s</w:t>
                  </w:r>
                  <w:r w:rsidRPr="00B470DC">
                    <w:rPr>
                      <w:rFonts w:asciiTheme="majorBidi" w:hAnsiTheme="majorBidi" w:cstheme="majorBidi"/>
                    </w:rPr>
                    <w:t xml:space="preserve"> et le nombre d’exploitations bio</w:t>
                  </w:r>
                  <w:r w:rsidR="00AB2E70">
                    <w:rPr>
                      <w:rFonts w:asciiTheme="majorBidi" w:hAnsiTheme="majorBidi" w:cstheme="majorBidi"/>
                    </w:rPr>
                    <w:t>s</w:t>
                  </w:r>
                  <w:r w:rsidRPr="00B470DC">
                    <w:rPr>
                      <w:rFonts w:asciiTheme="majorBidi" w:hAnsiTheme="majorBidi" w:cstheme="majorBidi"/>
                    </w:rPr>
                    <w:t xml:space="preserve"> dans les</w:t>
                  </w:r>
                  <w:r>
                    <w:rPr>
                      <w:rFonts w:asciiTheme="majorBidi" w:hAnsiTheme="majorBidi" w:cstheme="majorBidi"/>
                    </w:rPr>
                    <w:t xml:space="preserve"> différentes régions d’Algérie. Source</w:t>
                  </w:r>
                  <w:r w:rsidRPr="00E40F56">
                    <w:rPr>
                      <w:rFonts w:asciiTheme="majorBidi" w:hAnsiTheme="majorBidi" w:cstheme="majorBidi"/>
                    </w:rPr>
                    <w:t xml:space="preserve">: </w:t>
                  </w:r>
                  <w:r w:rsidRPr="00E40F56">
                    <w:rPr>
                      <w:rFonts w:asciiTheme="majorBidi" w:hAnsiTheme="majorBidi" w:cstheme="majorBidi"/>
                      <w:color w:val="000000" w:themeColor="text1"/>
                    </w:rPr>
                    <w:t>Abdellaoui, 2012.</w:t>
                  </w:r>
                </w:p>
              </w:txbxContent>
            </v:textbox>
          </v:shape>
        </w:pict>
      </w:r>
      <w:r w:rsidR="00534C26" w:rsidRPr="00E30870">
        <w:rPr>
          <w:rFonts w:asciiTheme="majorBidi" w:hAnsiTheme="majorBidi" w:cstheme="majorBidi"/>
          <w:noProof/>
          <w:color w:val="000000" w:themeColor="text1"/>
          <w:sz w:val="22"/>
          <w:szCs w:val="22"/>
          <w:lang w:eastAsia="fr-FR"/>
        </w:rPr>
        <w:drawing>
          <wp:inline distT="0" distB="0" distL="0" distR="0">
            <wp:extent cx="5532755" cy="2927350"/>
            <wp:effectExtent l="19050" t="19050" r="10795" b="2540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532755" cy="2927350"/>
                    </a:xfrm>
                    <a:prstGeom prst="rect">
                      <a:avLst/>
                    </a:prstGeom>
                    <a:noFill/>
                    <a:ln w="19050">
                      <a:solidFill>
                        <a:schemeClr val="tx1">
                          <a:lumMod val="95000"/>
                          <a:lumOff val="5000"/>
                        </a:schemeClr>
                      </a:solidFill>
                      <a:miter lim="800000"/>
                      <a:headEnd/>
                      <a:tailEnd/>
                    </a:ln>
                  </pic:spPr>
                </pic:pic>
              </a:graphicData>
            </a:graphic>
          </wp:inline>
        </w:drawing>
      </w:r>
    </w:p>
    <w:p w:rsidR="00534C26" w:rsidRPr="00E30870" w:rsidRDefault="00534C26" w:rsidP="00534C26">
      <w:pPr>
        <w:pStyle w:val="Default"/>
        <w:spacing w:before="100" w:beforeAutospacing="1" w:after="100" w:afterAutospacing="1" w:line="360" w:lineRule="auto"/>
        <w:jc w:val="both"/>
        <w:outlineLvl w:val="1"/>
        <w:rPr>
          <w:rFonts w:asciiTheme="majorBidi" w:hAnsiTheme="majorBidi" w:cstheme="majorBidi"/>
          <w:color w:val="000000" w:themeColor="text1"/>
          <w:sz w:val="22"/>
          <w:szCs w:val="22"/>
        </w:rPr>
      </w:pPr>
    </w:p>
    <w:p w:rsidR="00534C26" w:rsidRPr="00E30870" w:rsidRDefault="00534C26" w:rsidP="00534C26">
      <w:pPr>
        <w:pStyle w:val="Default"/>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rPr>
        <w:t xml:space="preserve">En Europe, </w:t>
      </w:r>
      <w:r w:rsidR="004B12F0" w:rsidRPr="00E30870">
        <w:rPr>
          <w:rFonts w:asciiTheme="majorBidi" w:eastAsia="Times New Roman" w:hAnsiTheme="majorBidi" w:cstheme="majorBidi"/>
          <w:color w:val="000000" w:themeColor="text1"/>
          <w:lang w:eastAsia="fr-FR"/>
        </w:rPr>
        <w:t>la mention «biologique</w:t>
      </w:r>
      <w:r w:rsidRPr="00E30870">
        <w:rPr>
          <w:rFonts w:asciiTheme="majorBidi" w:eastAsia="Times New Roman" w:hAnsiTheme="majorBidi" w:cstheme="majorBidi"/>
          <w:color w:val="000000" w:themeColor="text1"/>
          <w:lang w:eastAsia="fr-FR"/>
        </w:rPr>
        <w:t xml:space="preserve">» ne peut s’appliquer à un aliment que si 95% au moins de ses ingrédients proviennent de l’agriculture biologique. Les pays de l’UE </w:t>
      </w:r>
      <w:r w:rsidRPr="00E30870">
        <w:rPr>
          <w:rFonts w:asciiTheme="majorBidi" w:hAnsiTheme="majorBidi" w:cstheme="majorBidi"/>
          <w:color w:val="000000" w:themeColor="text1"/>
        </w:rPr>
        <w:t>se sont entendus pour rédiger une réglementation commune pour ce type de production alimentaire. Les principaux textes communautaires sont :</w:t>
      </w:r>
    </w:p>
    <w:p w:rsidR="00534C26" w:rsidRPr="00E30870" w:rsidRDefault="004B12F0" w:rsidP="00534C26">
      <w:pPr>
        <w:pStyle w:val="Default"/>
        <w:numPr>
          <w:ilvl w:val="0"/>
          <w:numId w:val="2"/>
        </w:numPr>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rPr>
        <w:t>Le</w:t>
      </w:r>
      <w:r w:rsidR="00534C26" w:rsidRPr="00E30870">
        <w:rPr>
          <w:rFonts w:asciiTheme="majorBidi" w:hAnsiTheme="majorBidi" w:cstheme="majorBidi"/>
          <w:color w:val="000000" w:themeColor="text1"/>
        </w:rPr>
        <w:t xml:space="preserve"> </w:t>
      </w:r>
      <w:hyperlink r:id="rId39" w:tooltip="À lire : Règlement (CE) N° 834/2007 du Conseil du 28 juin 2007 (pdf, 0.2MB)" w:history="1">
        <w:r w:rsidR="00534C26" w:rsidRPr="00E30870">
          <w:rPr>
            <w:rFonts w:asciiTheme="majorBidi" w:eastAsia="Times New Roman" w:hAnsiTheme="majorBidi" w:cstheme="majorBidi"/>
            <w:i/>
            <w:iCs/>
            <w:color w:val="000000" w:themeColor="text1"/>
            <w:u w:val="single"/>
            <w:lang w:eastAsia="fr-FR"/>
          </w:rPr>
          <w:t xml:space="preserve">Règlement (CE) N° 834/2007 </w:t>
        </w:r>
        <w:r w:rsidR="00534C26" w:rsidRPr="00E30870">
          <w:rPr>
            <w:rFonts w:asciiTheme="majorBidi" w:eastAsia="Times New Roman" w:hAnsiTheme="majorBidi" w:cstheme="majorBidi"/>
            <w:color w:val="000000" w:themeColor="text1"/>
            <w:lang w:eastAsia="fr-FR"/>
          </w:rPr>
          <w:t xml:space="preserve">du Conseil du 28 juin 2007 relatif á la production biologique et à l’étiquetage des produits biologiques abrogeant </w:t>
        </w:r>
        <w:r w:rsidR="00534C26" w:rsidRPr="00E30870">
          <w:rPr>
            <w:rFonts w:asciiTheme="majorBidi" w:eastAsia="Times New Roman" w:hAnsiTheme="majorBidi" w:cstheme="majorBidi"/>
            <w:i/>
            <w:iCs/>
            <w:color w:val="000000" w:themeColor="text1"/>
            <w:u w:val="single"/>
            <w:lang w:eastAsia="fr-FR"/>
          </w:rPr>
          <w:t>le Règlement (CEE) N° 2092/91</w:t>
        </w:r>
      </w:hyperlink>
      <w:r w:rsidR="00534C26" w:rsidRPr="00E30870">
        <w:rPr>
          <w:rFonts w:asciiTheme="majorBidi" w:hAnsiTheme="majorBidi" w:cstheme="majorBidi"/>
          <w:color w:val="000000" w:themeColor="text1"/>
        </w:rPr>
        <w:t xml:space="preserve">; </w:t>
      </w:r>
    </w:p>
    <w:p w:rsidR="00534C26" w:rsidRPr="00E30870" w:rsidRDefault="004B12F0" w:rsidP="00534C26">
      <w:pPr>
        <w:pStyle w:val="Default"/>
        <w:numPr>
          <w:ilvl w:val="0"/>
          <w:numId w:val="2"/>
        </w:numPr>
        <w:spacing w:line="360" w:lineRule="auto"/>
        <w:jc w:val="both"/>
        <w:rPr>
          <w:rFonts w:asciiTheme="majorBidi" w:hAnsiTheme="majorBidi" w:cstheme="majorBidi"/>
          <w:color w:val="000000" w:themeColor="text1"/>
        </w:rPr>
      </w:pPr>
      <w:r w:rsidRPr="00E30870">
        <w:rPr>
          <w:rFonts w:asciiTheme="majorBidi" w:hAnsiTheme="majorBidi" w:cstheme="majorBidi"/>
          <w:color w:val="000000" w:themeColor="text1"/>
        </w:rPr>
        <w:t>Le</w:t>
      </w:r>
      <w:r w:rsidR="00534C26" w:rsidRPr="00E30870">
        <w:rPr>
          <w:rFonts w:asciiTheme="majorBidi" w:eastAsia="Times New Roman" w:hAnsiTheme="majorBidi" w:cstheme="majorBidi"/>
          <w:i/>
          <w:iCs/>
          <w:color w:val="000000" w:themeColor="text1"/>
          <w:u w:val="single"/>
          <w:lang w:eastAsia="fr-FR"/>
        </w:rPr>
        <w:t xml:space="preserve"> </w:t>
      </w:r>
      <w:hyperlink r:id="rId40" w:tgtFrame="_self" w:tooltip="À lire : Règlement (CE) N° 889/2008 de la Commission du 5 septembre 2008 (pdf, 11 MB)" w:history="1">
        <w:r w:rsidR="00534C26" w:rsidRPr="00E30870">
          <w:rPr>
            <w:rFonts w:asciiTheme="majorBidi" w:eastAsia="Times New Roman" w:hAnsiTheme="majorBidi" w:cstheme="majorBidi"/>
            <w:i/>
            <w:iCs/>
            <w:color w:val="000000" w:themeColor="text1"/>
            <w:u w:val="single"/>
            <w:lang w:eastAsia="fr-FR"/>
          </w:rPr>
          <w:t>Règlement (CE) N° 889/2008 de la Commission du 5 septembre 2008</w:t>
        </w:r>
      </w:hyperlink>
      <w:r w:rsidR="00534C26" w:rsidRPr="00E30870">
        <w:rPr>
          <w:rFonts w:asciiTheme="majorBidi" w:eastAsia="Times New Roman" w:hAnsiTheme="majorBidi" w:cstheme="majorBidi"/>
          <w:color w:val="000000" w:themeColor="text1"/>
          <w:lang w:eastAsia="fr-FR"/>
        </w:rPr>
        <w:t xml:space="preserve"> détaillant les règles de production, d’étiquetage et de contrôle, avec son premier amendement sur les règles de productions pour la levure biologique</w:t>
      </w:r>
      <w:r w:rsidR="00534C26" w:rsidRPr="00E30870">
        <w:rPr>
          <w:rFonts w:asciiTheme="majorBidi" w:hAnsiTheme="majorBidi" w:cstheme="majorBidi"/>
          <w:color w:val="000000" w:themeColor="text1"/>
        </w:rPr>
        <w:t>;</w:t>
      </w:r>
    </w:p>
    <w:p w:rsidR="00534C26" w:rsidRPr="00E30870" w:rsidRDefault="004B12F0" w:rsidP="00534C26">
      <w:pPr>
        <w:pStyle w:val="Default"/>
        <w:numPr>
          <w:ilvl w:val="0"/>
          <w:numId w:val="2"/>
        </w:numPr>
        <w:spacing w:before="100" w:beforeAutospacing="1" w:after="100" w:afterAutospacing="1" w:line="360" w:lineRule="auto"/>
        <w:jc w:val="both"/>
        <w:outlineLvl w:val="1"/>
        <w:rPr>
          <w:rFonts w:asciiTheme="majorBidi" w:eastAsia="Times New Roman" w:hAnsiTheme="majorBidi" w:cstheme="majorBidi"/>
          <w:b/>
          <w:bCs/>
          <w:color w:val="000000" w:themeColor="text1"/>
          <w:lang w:eastAsia="fr-FR"/>
        </w:rPr>
      </w:pPr>
      <w:r w:rsidRPr="00E30870">
        <w:rPr>
          <w:rFonts w:asciiTheme="majorBidi" w:hAnsiTheme="majorBidi" w:cstheme="majorBidi"/>
          <w:color w:val="000000" w:themeColor="text1"/>
        </w:rPr>
        <w:t xml:space="preserve">Le </w:t>
      </w:r>
      <w:hyperlink r:id="rId41" w:tgtFrame="_self" w:tooltip="À lire : Règlement (CE) N°1235/2008 de la Commission du 8 décembre 2008 (pdf, 0.1 MB)" w:history="1">
        <w:r w:rsidR="00534C26" w:rsidRPr="00E30870">
          <w:rPr>
            <w:rFonts w:asciiTheme="majorBidi" w:eastAsia="Times New Roman" w:hAnsiTheme="majorBidi" w:cstheme="majorBidi"/>
            <w:i/>
            <w:iCs/>
            <w:color w:val="000000" w:themeColor="text1"/>
            <w:u w:val="single"/>
            <w:lang w:eastAsia="fr-FR"/>
          </w:rPr>
          <w:t>Règlement (CE) N° 1235/2008</w:t>
        </w:r>
        <w:r w:rsidR="00534C26" w:rsidRPr="00E30870">
          <w:rPr>
            <w:rFonts w:asciiTheme="majorBidi" w:eastAsia="Times New Roman" w:hAnsiTheme="majorBidi" w:cstheme="majorBidi"/>
            <w:color w:val="000000" w:themeColor="text1"/>
            <w:lang w:eastAsia="fr-FR"/>
          </w:rPr>
          <w:t xml:space="preserve"> du 8 décembre 2008, qui règle en détail l’importation de produits biologiques en provenance de pays tiers</w:t>
        </w:r>
      </w:hyperlink>
      <w:r w:rsidR="00534C26" w:rsidRPr="00E30870">
        <w:rPr>
          <w:rFonts w:asciiTheme="majorBidi" w:eastAsia="Times New Roman" w:hAnsiTheme="majorBidi" w:cstheme="majorBidi"/>
          <w:color w:val="000000" w:themeColor="text1"/>
          <w:lang w:eastAsia="fr-FR"/>
        </w:rPr>
        <w:t xml:space="preserve"> (CE, 2012)</w:t>
      </w:r>
      <w:r w:rsidR="00534C26" w:rsidRPr="00E30870">
        <w:rPr>
          <w:rFonts w:asciiTheme="majorBidi" w:hAnsiTheme="majorBidi" w:cstheme="majorBidi"/>
          <w:color w:val="000000" w:themeColor="text1"/>
        </w:rPr>
        <w:t>.</w:t>
      </w:r>
    </w:p>
    <w:p w:rsidR="00534C26" w:rsidRPr="00E30870" w:rsidRDefault="00534C26" w:rsidP="005D0DCA">
      <w:pPr>
        <w:pStyle w:val="Default"/>
        <w:spacing w:before="100" w:beforeAutospacing="1" w:after="100" w:afterAutospacing="1" w:line="360" w:lineRule="auto"/>
        <w:jc w:val="both"/>
        <w:outlineLvl w:val="1"/>
        <w:rPr>
          <w:rFonts w:asciiTheme="majorBidi" w:eastAsia="Times New Roman" w:hAnsiTheme="majorBidi" w:cstheme="majorBidi"/>
          <w:color w:val="000000" w:themeColor="text1"/>
          <w:lang w:eastAsia="fr-FR"/>
        </w:rPr>
      </w:pPr>
      <w:r w:rsidRPr="00E30870">
        <w:rPr>
          <w:rFonts w:asciiTheme="majorBidi" w:hAnsiTheme="majorBidi" w:cstheme="majorBidi"/>
          <w:color w:val="000000" w:themeColor="text1"/>
        </w:rPr>
        <w:t xml:space="preserve">Le facteur de confiance entre producteurs et consommateurs se manifeste dans le développement des labels bio et leurs systèmes de certification. </w:t>
      </w:r>
      <w:r w:rsidRPr="00E30870">
        <w:rPr>
          <w:rFonts w:asciiTheme="majorBidi" w:hAnsiTheme="majorBidi" w:cstheme="majorBidi"/>
          <w:color w:val="000000" w:themeColor="text1"/>
          <w:shd w:val="clear" w:color="auto" w:fill="FFFFFF"/>
        </w:rPr>
        <w:t xml:space="preserve">Les labels </w:t>
      </w:r>
      <w:r w:rsidR="00561BA5" w:rsidRPr="00E30870">
        <w:rPr>
          <w:rFonts w:asciiTheme="majorBidi" w:hAnsiTheme="majorBidi" w:cstheme="majorBidi"/>
          <w:color w:val="000000" w:themeColor="text1"/>
          <w:shd w:val="clear" w:color="auto" w:fill="FFFFFF"/>
        </w:rPr>
        <w:t>bios</w:t>
      </w:r>
      <w:r w:rsidRPr="00E30870">
        <w:rPr>
          <w:rFonts w:asciiTheme="majorBidi" w:hAnsiTheme="majorBidi" w:cstheme="majorBidi"/>
          <w:color w:val="000000" w:themeColor="text1"/>
          <w:shd w:val="clear" w:color="auto" w:fill="FFFFFF"/>
        </w:rPr>
        <w:t xml:space="preserve"> confirment la conformité des produits aux différents cahiers de charges. Ces cahiers des charges sont des </w:t>
      </w:r>
      <w:r w:rsidRPr="00E30870">
        <w:rPr>
          <w:rFonts w:asciiTheme="majorBidi" w:hAnsiTheme="majorBidi" w:cstheme="majorBidi"/>
          <w:color w:val="000000" w:themeColor="text1"/>
          <w:shd w:val="clear" w:color="auto" w:fill="FFFFFF"/>
        </w:rPr>
        <w:lastRenderedPageBreak/>
        <w:t xml:space="preserve">documents évolutifs, susceptibles d’être actualisés et améliorés en permanence en fonction de l’évolution des capacités technologiques et de la réglementation générale </w:t>
      </w:r>
      <w:r w:rsidRPr="00E30870">
        <w:rPr>
          <w:rFonts w:asciiTheme="majorBidi" w:hAnsiTheme="majorBidi" w:cstheme="majorBidi"/>
          <w:color w:val="000000" w:themeColor="text1"/>
        </w:rPr>
        <w:t>(CTB, 2009). On distingue trois principaux types de « labels »: les labels officiels, les labels privés collectifs et les marques privées individuelles.</w:t>
      </w:r>
      <w:r w:rsidRPr="00E30870">
        <w:rPr>
          <w:rFonts w:asciiTheme="majorBidi" w:hAnsiTheme="majorBidi" w:cstheme="majorBidi"/>
          <w:b/>
          <w:bCs/>
          <w:color w:val="000000" w:themeColor="text1"/>
        </w:rPr>
        <w:t xml:space="preserve"> </w:t>
      </w:r>
      <w:r w:rsidRPr="00E30870">
        <w:rPr>
          <w:rFonts w:asciiTheme="majorBidi" w:hAnsiTheme="majorBidi" w:cstheme="majorBidi"/>
          <w:color w:val="000000" w:themeColor="text1"/>
        </w:rPr>
        <w:t xml:space="preserve">Les labels officiels, sont ceux intégrés et reconnus par la législation d’un pays ou d’un groupe de pays. Le label de l’UE mis en vigueur depuis juillet 2010 et le label AB (Agriculture Biologique) en fait des exemples. Les labels privés collectifs sont établis par des ONG, des associations de défense du bio ou des associations professionnelles, comme en Belgique pour le label </w:t>
      </w:r>
      <w:proofErr w:type="spellStart"/>
      <w:r w:rsidRPr="00E30870">
        <w:rPr>
          <w:rFonts w:asciiTheme="majorBidi" w:hAnsiTheme="majorBidi" w:cstheme="majorBidi"/>
          <w:color w:val="000000" w:themeColor="text1"/>
        </w:rPr>
        <w:t>Biogarantie</w:t>
      </w:r>
      <w:proofErr w:type="spellEnd"/>
      <w:r w:rsidRPr="00E30870">
        <w:rPr>
          <w:rFonts w:asciiTheme="majorBidi" w:hAnsiTheme="majorBidi" w:cstheme="majorBidi"/>
          <w:color w:val="000000" w:themeColor="text1"/>
        </w:rPr>
        <w:t>. Les marques privées individuelles sont conçues par un fabricant ou un distributeur. La plupart des grande</w:t>
      </w:r>
      <w:r w:rsidR="005D0DCA" w:rsidRPr="00E30870">
        <w:rPr>
          <w:rFonts w:asciiTheme="majorBidi" w:hAnsiTheme="majorBidi" w:cstheme="majorBidi"/>
          <w:color w:val="000000" w:themeColor="text1"/>
        </w:rPr>
        <w:t>s</w:t>
      </w:r>
      <w:r w:rsidRPr="00E30870">
        <w:rPr>
          <w:rFonts w:asciiTheme="majorBidi" w:hAnsiTheme="majorBidi" w:cstheme="majorBidi"/>
          <w:color w:val="000000" w:themeColor="text1"/>
        </w:rPr>
        <w:t xml:space="preserve"> distribution</w:t>
      </w:r>
      <w:r w:rsidR="005D0DCA" w:rsidRPr="00E30870">
        <w:rPr>
          <w:rFonts w:asciiTheme="majorBidi" w:hAnsiTheme="majorBidi" w:cstheme="majorBidi"/>
          <w:color w:val="000000" w:themeColor="text1"/>
        </w:rPr>
        <w:t>s</w:t>
      </w:r>
      <w:r w:rsidRPr="00E30870">
        <w:rPr>
          <w:rFonts w:asciiTheme="majorBidi" w:hAnsiTheme="majorBidi" w:cstheme="majorBidi"/>
          <w:color w:val="000000" w:themeColor="text1"/>
        </w:rPr>
        <w:t xml:space="preserve"> disposent de leur marque, comme « Bio-Time » pour Colruyt ou « Bio » chez Delhaize ou encore « Bio, Le bien-être de la nature » chez Carrefour (figure 9).</w:t>
      </w:r>
    </w:p>
    <w:p w:rsidR="00534C26" w:rsidRPr="00E30870" w:rsidRDefault="00F83B7D" w:rsidP="00534C26">
      <w:pPr>
        <w:pStyle w:val="Default"/>
        <w:spacing w:before="100" w:beforeAutospacing="1" w:after="100" w:afterAutospacing="1" w:line="360" w:lineRule="auto"/>
        <w:ind w:left="360"/>
        <w:jc w:val="center"/>
        <w:outlineLvl w:val="1"/>
        <w:rPr>
          <w:rFonts w:asciiTheme="majorBidi" w:eastAsia="Times New Roman" w:hAnsiTheme="majorBidi" w:cstheme="majorBidi"/>
          <w:b/>
          <w:bCs/>
          <w:color w:val="000000" w:themeColor="text1"/>
          <w:sz w:val="22"/>
          <w:szCs w:val="22"/>
          <w:lang w:eastAsia="fr-FR"/>
        </w:rPr>
      </w:pPr>
      <w:r>
        <w:rPr>
          <w:rFonts w:asciiTheme="majorBidi" w:eastAsia="Times New Roman" w:hAnsiTheme="majorBidi" w:cstheme="majorBidi"/>
          <w:b/>
          <w:bCs/>
          <w:noProof/>
          <w:color w:val="000000" w:themeColor="text1"/>
          <w:sz w:val="22"/>
          <w:szCs w:val="22"/>
          <w:lang w:eastAsia="fr-FR"/>
        </w:rPr>
        <w:pict>
          <v:shape id="_x0000_s1034" type="#_x0000_t202" style="position:absolute;left:0;text-align:left;margin-left:67.5pt;margin-top:224.55pt;width:333.55pt;height:61.55pt;z-index:251668480;mso-width-relative:margin;mso-height-relative:margin" stroked="f">
            <v:textbox>
              <w:txbxContent>
                <w:p w:rsidR="00534C26" w:rsidRPr="00B470DC" w:rsidRDefault="00534C26" w:rsidP="00B37FA2">
                  <w:pPr>
                    <w:jc w:val="both"/>
                    <w:rPr>
                      <w:rFonts w:asciiTheme="majorBidi" w:hAnsiTheme="majorBidi" w:cstheme="majorBidi"/>
                      <w:color w:val="000000" w:themeColor="text1"/>
                    </w:rPr>
                  </w:pPr>
                  <w:r w:rsidRPr="00B470DC">
                    <w:rPr>
                      <w:rFonts w:asciiTheme="majorBidi" w:hAnsiTheme="majorBidi" w:cstheme="majorBidi"/>
                      <w:b/>
                      <w:bCs/>
                    </w:rPr>
                    <w:t>Figure</w:t>
                  </w:r>
                  <w:r w:rsidRPr="003B1338">
                    <w:rPr>
                      <w:rFonts w:asciiTheme="majorBidi" w:hAnsiTheme="majorBidi" w:cstheme="majorBidi"/>
                      <w:b/>
                      <w:bCs/>
                    </w:rPr>
                    <w:t xml:space="preserve"> </w:t>
                  </w:r>
                  <w:r w:rsidRPr="003B1338">
                    <w:rPr>
                      <w:rFonts w:asciiTheme="majorBidi" w:hAnsiTheme="majorBidi" w:cstheme="majorBidi"/>
                      <w:b/>
                      <w:bCs/>
                      <w:color w:val="000000" w:themeColor="text1"/>
                    </w:rPr>
                    <w:t>9</w:t>
                  </w:r>
                  <w:r>
                    <w:rPr>
                      <w:rFonts w:asciiTheme="majorBidi" w:hAnsiTheme="majorBidi" w:cstheme="majorBidi"/>
                      <w:color w:val="000000" w:themeColor="text1"/>
                    </w:rPr>
                    <w:t xml:space="preserve"> </w:t>
                  </w:r>
                  <w:r w:rsidRPr="00B470DC">
                    <w:rPr>
                      <w:rFonts w:asciiTheme="majorBidi" w:hAnsiTheme="majorBidi" w:cstheme="majorBidi"/>
                      <w:color w:val="000000" w:themeColor="text1"/>
                    </w:rPr>
                    <w:t xml:space="preserve">Les </w:t>
                  </w:r>
                  <w:r w:rsidR="00B37FA2">
                    <w:rPr>
                      <w:rFonts w:asciiTheme="majorBidi" w:hAnsiTheme="majorBidi" w:cstheme="majorBidi"/>
                      <w:color w:val="000000" w:themeColor="text1"/>
                    </w:rPr>
                    <w:t>différents labels bio européens</w:t>
                  </w:r>
                  <w:r w:rsidRPr="00B470DC">
                    <w:rPr>
                      <w:rFonts w:asciiTheme="majorBidi" w:hAnsiTheme="majorBidi" w:cstheme="majorBidi"/>
                      <w:color w:val="000000" w:themeColor="text1"/>
                    </w:rPr>
                    <w:t>: Off</w:t>
                  </w:r>
                  <w:r w:rsidR="00B37FA2">
                    <w:rPr>
                      <w:rFonts w:asciiTheme="majorBidi" w:hAnsiTheme="majorBidi" w:cstheme="majorBidi"/>
                      <w:color w:val="000000" w:themeColor="text1"/>
                    </w:rPr>
                    <w:t xml:space="preserve">iciels (label UE, AB France) ; </w:t>
                  </w:r>
                  <w:r w:rsidRPr="00B470DC">
                    <w:rPr>
                      <w:rFonts w:asciiTheme="majorBidi" w:hAnsiTheme="majorBidi" w:cstheme="majorBidi"/>
                      <w:color w:val="000000" w:themeColor="text1"/>
                    </w:rPr>
                    <w:t>privés collectifs (</w:t>
                  </w:r>
                  <w:proofErr w:type="spellStart"/>
                  <w:r w:rsidRPr="00B470DC">
                    <w:rPr>
                      <w:rFonts w:asciiTheme="majorBidi" w:hAnsiTheme="majorBidi" w:cstheme="majorBidi"/>
                      <w:color w:val="000000" w:themeColor="text1"/>
                    </w:rPr>
                    <w:t>biogarentie</w:t>
                  </w:r>
                  <w:proofErr w:type="spellEnd"/>
                  <w:r w:rsidRPr="00B470DC">
                    <w:rPr>
                      <w:rFonts w:asciiTheme="majorBidi" w:hAnsiTheme="majorBidi" w:cstheme="majorBidi"/>
                      <w:color w:val="000000" w:themeColor="text1"/>
                    </w:rPr>
                    <w:t xml:space="preserve"> et nature </w:t>
                  </w:r>
                  <w:r w:rsidR="00B37FA2">
                    <w:rPr>
                      <w:rFonts w:asciiTheme="majorBidi" w:hAnsiTheme="majorBidi" w:cstheme="majorBidi"/>
                      <w:color w:val="000000" w:themeColor="text1"/>
                    </w:rPr>
                    <w:t>&amp;</w:t>
                  </w:r>
                  <w:r w:rsidRPr="00B470DC">
                    <w:rPr>
                      <w:rFonts w:asciiTheme="majorBidi" w:hAnsiTheme="majorBidi" w:cstheme="majorBidi"/>
                      <w:color w:val="000000" w:themeColor="text1"/>
                    </w:rPr>
                    <w:t xml:space="preserve"> </w:t>
                  </w:r>
                  <w:r w:rsidR="00B37FA2" w:rsidRPr="00B470DC">
                    <w:rPr>
                      <w:rFonts w:asciiTheme="majorBidi" w:hAnsiTheme="majorBidi" w:cstheme="majorBidi"/>
                      <w:color w:val="000000" w:themeColor="text1"/>
                    </w:rPr>
                    <w:t>progrès</w:t>
                  </w:r>
                  <w:r w:rsidRPr="00B470DC">
                    <w:rPr>
                      <w:rFonts w:asciiTheme="majorBidi" w:hAnsiTheme="majorBidi" w:cstheme="majorBidi"/>
                      <w:color w:val="000000" w:themeColor="text1"/>
                    </w:rPr>
                    <w:t>- Belgique) et privées individuelles (bio-</w:t>
                  </w:r>
                  <w:proofErr w:type="spellStart"/>
                  <w:r w:rsidRPr="00B470DC">
                    <w:rPr>
                      <w:rFonts w:asciiTheme="majorBidi" w:hAnsiTheme="majorBidi" w:cstheme="majorBidi"/>
                      <w:color w:val="000000" w:themeColor="text1"/>
                    </w:rPr>
                    <w:t>delha</w:t>
                  </w:r>
                  <w:r w:rsidR="00B37FA2">
                    <w:rPr>
                      <w:rFonts w:asciiTheme="majorBidi" w:hAnsiTheme="majorBidi" w:cstheme="majorBidi"/>
                      <w:color w:val="000000" w:themeColor="text1"/>
                    </w:rPr>
                    <w:t>ize</w:t>
                  </w:r>
                  <w:proofErr w:type="spellEnd"/>
                  <w:r w:rsidR="00B37FA2">
                    <w:rPr>
                      <w:rFonts w:asciiTheme="majorBidi" w:hAnsiTheme="majorBidi" w:cstheme="majorBidi"/>
                      <w:color w:val="000000" w:themeColor="text1"/>
                    </w:rPr>
                    <w:t xml:space="preserve"> et </w:t>
                  </w:r>
                  <w:proofErr w:type="spellStart"/>
                  <w:r w:rsidR="00B37FA2">
                    <w:rPr>
                      <w:rFonts w:asciiTheme="majorBidi" w:hAnsiTheme="majorBidi" w:cstheme="majorBidi"/>
                      <w:color w:val="000000" w:themeColor="text1"/>
                    </w:rPr>
                    <w:t>biotime</w:t>
                  </w:r>
                  <w:proofErr w:type="spellEnd"/>
                  <w:r w:rsidR="00B37FA2">
                    <w:rPr>
                      <w:rFonts w:asciiTheme="majorBidi" w:hAnsiTheme="majorBidi" w:cstheme="majorBidi"/>
                      <w:color w:val="000000" w:themeColor="text1"/>
                    </w:rPr>
                    <w:t xml:space="preserve"> </w:t>
                  </w:r>
                  <w:proofErr w:type="spellStart"/>
                  <w:r w:rsidR="00B37FA2">
                    <w:rPr>
                      <w:rFonts w:asciiTheme="majorBidi" w:hAnsiTheme="majorBidi" w:cstheme="majorBidi"/>
                      <w:color w:val="000000" w:themeColor="text1"/>
                    </w:rPr>
                    <w:t>colruyt</w:t>
                  </w:r>
                  <w:proofErr w:type="spellEnd"/>
                  <w:r w:rsidR="00B37FA2">
                    <w:rPr>
                      <w:rFonts w:asciiTheme="majorBidi" w:hAnsiTheme="majorBidi" w:cstheme="majorBidi"/>
                      <w:color w:val="000000" w:themeColor="text1"/>
                    </w:rPr>
                    <w:t>). Source</w:t>
                  </w:r>
                  <w:r w:rsidRPr="00B470DC">
                    <w:rPr>
                      <w:rFonts w:asciiTheme="majorBidi" w:hAnsiTheme="majorBidi" w:cstheme="majorBidi"/>
                      <w:color w:val="000000" w:themeColor="text1"/>
                    </w:rPr>
                    <w:t>: CTB,</w:t>
                  </w:r>
                  <w:r w:rsidRPr="00B470DC">
                    <w:rPr>
                      <w:rFonts w:asciiTheme="majorBidi" w:hAnsiTheme="majorBidi" w:cstheme="majorBidi"/>
                      <w:i/>
                      <w:iCs/>
                      <w:color w:val="000000" w:themeColor="text1"/>
                    </w:rPr>
                    <w:t xml:space="preserve"> </w:t>
                  </w:r>
                  <w:r w:rsidRPr="00B37FA2">
                    <w:rPr>
                      <w:rFonts w:asciiTheme="majorBidi" w:hAnsiTheme="majorBidi" w:cstheme="majorBidi"/>
                      <w:color w:val="000000" w:themeColor="text1"/>
                    </w:rPr>
                    <w:t>2009).</w:t>
                  </w:r>
                </w:p>
              </w:txbxContent>
            </v:textbox>
          </v:shape>
        </w:pict>
      </w:r>
      <w:r w:rsidR="00534C26" w:rsidRPr="00E30870">
        <w:rPr>
          <w:rFonts w:asciiTheme="majorBidi" w:eastAsia="Times New Roman" w:hAnsiTheme="majorBidi" w:cstheme="majorBidi"/>
          <w:b/>
          <w:bCs/>
          <w:noProof/>
          <w:color w:val="000000" w:themeColor="text1"/>
          <w:sz w:val="22"/>
          <w:szCs w:val="22"/>
          <w:lang w:eastAsia="fr-FR"/>
        </w:rPr>
        <w:drawing>
          <wp:inline distT="0" distB="0" distL="0" distR="0">
            <wp:extent cx="4253901" cy="2739518"/>
            <wp:effectExtent l="19050" t="19050" r="13299" b="22732"/>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261607" cy="2744480"/>
                    </a:xfrm>
                    <a:prstGeom prst="rect">
                      <a:avLst/>
                    </a:prstGeom>
                    <a:noFill/>
                    <a:ln w="9525">
                      <a:solidFill>
                        <a:schemeClr val="tx1">
                          <a:lumMod val="95000"/>
                          <a:lumOff val="5000"/>
                        </a:schemeClr>
                      </a:solidFill>
                      <a:miter lim="800000"/>
                      <a:headEnd/>
                      <a:tailEnd/>
                    </a:ln>
                  </pic:spPr>
                </pic:pic>
              </a:graphicData>
            </a:graphic>
          </wp:inline>
        </w:drawing>
      </w:r>
    </w:p>
    <w:p w:rsidR="00534C26" w:rsidRPr="00E30870" w:rsidRDefault="00534C26" w:rsidP="00534C26">
      <w:pPr>
        <w:pStyle w:val="Default"/>
        <w:spacing w:before="100" w:beforeAutospacing="1" w:after="100" w:afterAutospacing="1" w:line="360" w:lineRule="auto"/>
        <w:ind w:left="360"/>
        <w:jc w:val="both"/>
        <w:outlineLvl w:val="1"/>
        <w:rPr>
          <w:rFonts w:asciiTheme="majorBidi" w:eastAsia="Times New Roman" w:hAnsiTheme="majorBidi" w:cstheme="majorBidi"/>
          <w:b/>
          <w:bCs/>
          <w:color w:val="000000" w:themeColor="text1"/>
          <w:sz w:val="22"/>
          <w:szCs w:val="22"/>
          <w:lang w:eastAsia="fr-FR"/>
        </w:rPr>
      </w:pPr>
    </w:p>
    <w:p w:rsidR="00534C26" w:rsidRPr="00E30870" w:rsidRDefault="00534C26" w:rsidP="00534C26">
      <w:pPr>
        <w:rPr>
          <w:rFonts w:asciiTheme="majorBidi" w:eastAsia="Times New Roman" w:hAnsiTheme="majorBidi" w:cstheme="majorBidi"/>
          <w:b/>
          <w:bCs/>
          <w:color w:val="000000" w:themeColor="text1"/>
          <w:lang w:eastAsia="fr-FR"/>
        </w:rPr>
      </w:pPr>
    </w:p>
    <w:p w:rsidR="00534C26" w:rsidRPr="00E30870" w:rsidRDefault="00534C26" w:rsidP="00534C26">
      <w:pPr>
        <w:rPr>
          <w:rFonts w:asciiTheme="majorBidi" w:eastAsia="Times New Roman" w:hAnsiTheme="majorBidi" w:cstheme="majorBidi"/>
          <w:b/>
          <w:bCs/>
          <w:color w:val="000000" w:themeColor="text1"/>
          <w:lang w:eastAsia="fr-FR"/>
        </w:rPr>
      </w:pPr>
    </w:p>
    <w:p w:rsidR="00B37FA2" w:rsidRPr="00E30870" w:rsidRDefault="00B37FA2" w:rsidP="00534C26">
      <w:pPr>
        <w:rPr>
          <w:rFonts w:asciiTheme="majorBidi" w:eastAsia="Times New Roman" w:hAnsiTheme="majorBidi" w:cstheme="majorBidi"/>
          <w:b/>
          <w:bCs/>
          <w:color w:val="000000" w:themeColor="text1"/>
          <w:lang w:eastAsia="fr-FR"/>
        </w:rPr>
      </w:pPr>
    </w:p>
    <w:p w:rsidR="00B37FA2" w:rsidRPr="00E30870" w:rsidRDefault="00B37FA2" w:rsidP="00534C26">
      <w:pPr>
        <w:rPr>
          <w:rFonts w:asciiTheme="majorBidi" w:eastAsia="Times New Roman" w:hAnsiTheme="majorBidi" w:cstheme="majorBidi"/>
          <w:b/>
          <w:bCs/>
          <w:color w:val="000000" w:themeColor="text1"/>
          <w:lang w:eastAsia="fr-FR"/>
        </w:rPr>
      </w:pPr>
    </w:p>
    <w:p w:rsidR="00B37FA2" w:rsidRPr="00E30870" w:rsidRDefault="00B37FA2" w:rsidP="00534C26">
      <w:pPr>
        <w:rPr>
          <w:rFonts w:asciiTheme="majorBidi" w:eastAsia="Times New Roman" w:hAnsiTheme="majorBidi" w:cstheme="majorBidi"/>
          <w:b/>
          <w:bCs/>
          <w:color w:val="000000" w:themeColor="text1"/>
          <w:lang w:eastAsia="fr-FR"/>
        </w:rPr>
      </w:pPr>
    </w:p>
    <w:p w:rsidR="00B37FA2" w:rsidRPr="00E30870" w:rsidRDefault="00B37FA2" w:rsidP="00534C26">
      <w:pPr>
        <w:rPr>
          <w:rFonts w:asciiTheme="majorBidi" w:eastAsia="Times New Roman" w:hAnsiTheme="majorBidi" w:cstheme="majorBidi"/>
          <w:b/>
          <w:bCs/>
          <w:color w:val="000000" w:themeColor="text1"/>
          <w:lang w:eastAsia="fr-FR"/>
        </w:rPr>
      </w:pPr>
    </w:p>
    <w:p w:rsidR="00534C26" w:rsidRPr="00E30870" w:rsidRDefault="00C20C2E" w:rsidP="00C20C2E">
      <w:pPr>
        <w:rPr>
          <w:rFonts w:asciiTheme="majorBidi" w:hAnsiTheme="majorBidi" w:cstheme="majorBidi"/>
          <w:b/>
          <w:bCs/>
          <w:color w:val="000000" w:themeColor="text1"/>
          <w:sz w:val="28"/>
        </w:rPr>
      </w:pPr>
      <w:r w:rsidRPr="00E30870">
        <w:rPr>
          <w:rFonts w:asciiTheme="majorBidi" w:eastAsiaTheme="majorEastAsia" w:hAnsiTheme="majorBidi" w:cstheme="majorBidi"/>
          <w:b/>
          <w:bCs/>
          <w:color w:val="000000" w:themeColor="text1"/>
          <w:sz w:val="28"/>
          <w:szCs w:val="28"/>
        </w:rPr>
        <w:lastRenderedPageBreak/>
        <w:t xml:space="preserve">2.8- </w:t>
      </w:r>
      <w:r w:rsidR="00D6379F" w:rsidRPr="00E30870">
        <w:rPr>
          <w:rFonts w:asciiTheme="majorBidi" w:eastAsiaTheme="majorEastAsia" w:hAnsiTheme="majorBidi" w:cstheme="majorBidi"/>
          <w:b/>
          <w:bCs/>
          <w:color w:val="000000" w:themeColor="text1"/>
          <w:sz w:val="28"/>
          <w:szCs w:val="28"/>
        </w:rPr>
        <w:t>Les lipopeptides</w:t>
      </w:r>
      <w:r w:rsidR="00534C26" w:rsidRPr="00E30870">
        <w:rPr>
          <w:rFonts w:asciiTheme="majorBidi" w:eastAsiaTheme="majorEastAsia" w:hAnsiTheme="majorBidi" w:cstheme="majorBidi"/>
          <w:b/>
          <w:bCs/>
          <w:color w:val="000000" w:themeColor="text1"/>
          <w:sz w:val="28"/>
          <w:szCs w:val="28"/>
        </w:rPr>
        <w:t>: Structure, classification</w:t>
      </w:r>
      <w:r w:rsidR="00BF4537" w:rsidRPr="00E30870">
        <w:rPr>
          <w:rFonts w:asciiTheme="majorBidi" w:eastAsiaTheme="majorEastAsia" w:hAnsiTheme="majorBidi" w:cstheme="majorBidi"/>
          <w:b/>
          <w:bCs/>
          <w:color w:val="000000" w:themeColor="text1"/>
          <w:sz w:val="28"/>
          <w:szCs w:val="28"/>
        </w:rPr>
        <w:t xml:space="preserve"> et rôles dans le phénomène du </w:t>
      </w:r>
      <w:r w:rsidR="00534C26" w:rsidRPr="00E30870">
        <w:rPr>
          <w:rFonts w:asciiTheme="majorBidi" w:eastAsiaTheme="majorEastAsia" w:hAnsiTheme="majorBidi" w:cstheme="majorBidi"/>
          <w:b/>
          <w:bCs/>
          <w:color w:val="000000" w:themeColor="text1"/>
          <w:sz w:val="28"/>
          <w:szCs w:val="28"/>
        </w:rPr>
        <w:t>biocontrôle</w:t>
      </w:r>
    </w:p>
    <w:p w:rsidR="00C20C2E" w:rsidRPr="00E30870" w:rsidRDefault="00C20C2E" w:rsidP="00C20C2E">
      <w:pPr>
        <w:autoSpaceDE w:val="0"/>
        <w:autoSpaceDN w:val="0"/>
        <w:adjustRightInd w:val="0"/>
        <w:spacing w:after="0" w:line="360" w:lineRule="auto"/>
        <w:jc w:val="both"/>
        <w:rPr>
          <w:rFonts w:asciiTheme="majorBidi" w:hAnsiTheme="majorBidi" w:cstheme="majorBidi"/>
          <w:b/>
          <w:bCs/>
          <w:color w:val="000000" w:themeColor="text1"/>
          <w:sz w:val="24"/>
          <w:szCs w:val="24"/>
          <w:lang w:val="fr-BE"/>
        </w:rPr>
      </w:pPr>
      <w:r w:rsidRPr="00E30870">
        <w:rPr>
          <w:rFonts w:asciiTheme="majorBidi" w:hAnsiTheme="majorBidi" w:cstheme="majorBidi"/>
          <w:b/>
          <w:bCs/>
          <w:color w:val="000000" w:themeColor="text1"/>
          <w:sz w:val="24"/>
          <w:szCs w:val="24"/>
        </w:rPr>
        <w:t>2.8.1-</w:t>
      </w:r>
      <w:r w:rsidR="00534C26" w:rsidRPr="00E30870">
        <w:rPr>
          <w:rFonts w:asciiTheme="majorBidi" w:hAnsiTheme="majorBidi" w:cstheme="majorBidi"/>
          <w:b/>
          <w:bCs/>
          <w:color w:val="000000" w:themeColor="text1"/>
          <w:sz w:val="24"/>
          <w:szCs w:val="24"/>
          <w:lang w:val="fr-BE"/>
        </w:rPr>
        <w:t>Structure des lipopeptides</w:t>
      </w:r>
    </w:p>
    <w:p w:rsidR="00534C26" w:rsidRPr="00E30870" w:rsidRDefault="00534C26" w:rsidP="00C20C2E">
      <w:pPr>
        <w:autoSpaceDE w:val="0"/>
        <w:autoSpaceDN w:val="0"/>
        <w:adjustRightInd w:val="0"/>
        <w:spacing w:after="0" w:line="360" w:lineRule="auto"/>
        <w:jc w:val="both"/>
        <w:rPr>
          <w:rFonts w:asciiTheme="majorBidi" w:hAnsiTheme="majorBidi" w:cstheme="majorBidi"/>
          <w:b/>
          <w:bCs/>
          <w:color w:val="000000" w:themeColor="text1"/>
          <w:sz w:val="24"/>
          <w:szCs w:val="24"/>
          <w:lang w:val="fr-BE"/>
        </w:rPr>
      </w:pPr>
      <w:r w:rsidRPr="00E30870">
        <w:rPr>
          <w:rFonts w:asciiTheme="majorBidi" w:hAnsiTheme="majorBidi" w:cstheme="majorBidi"/>
          <w:color w:val="000000" w:themeColor="text1"/>
          <w:sz w:val="24"/>
          <w:szCs w:val="24"/>
          <w:lang w:val="fr-BE"/>
        </w:rPr>
        <w:t>Les lipopeptides (</w:t>
      </w:r>
      <w:proofErr w:type="spellStart"/>
      <w:r w:rsidRPr="00E30870">
        <w:rPr>
          <w:rFonts w:asciiTheme="majorBidi" w:hAnsiTheme="majorBidi" w:cstheme="majorBidi"/>
          <w:color w:val="000000" w:themeColor="text1"/>
          <w:sz w:val="24"/>
          <w:szCs w:val="24"/>
          <w:lang w:val="fr-BE"/>
        </w:rPr>
        <w:t>LPs</w:t>
      </w:r>
      <w:proofErr w:type="spellEnd"/>
      <w:r w:rsidRPr="00E30870">
        <w:rPr>
          <w:rFonts w:asciiTheme="majorBidi" w:hAnsiTheme="majorBidi" w:cstheme="majorBidi"/>
          <w:color w:val="000000" w:themeColor="text1"/>
          <w:sz w:val="24"/>
          <w:szCs w:val="24"/>
          <w:lang w:val="fr-BE"/>
        </w:rPr>
        <w:t xml:space="preserve">) se composent d’un cycle peptidique lié à une chaine d’acide gras. Il existe trois grandes familles de </w:t>
      </w:r>
      <w:proofErr w:type="spellStart"/>
      <w:r w:rsidRPr="00E30870">
        <w:rPr>
          <w:rFonts w:asciiTheme="majorBidi" w:hAnsiTheme="majorBidi" w:cstheme="majorBidi"/>
          <w:color w:val="000000" w:themeColor="text1"/>
          <w:sz w:val="24"/>
          <w:szCs w:val="24"/>
          <w:lang w:val="fr-BE"/>
        </w:rPr>
        <w:t>LPs</w:t>
      </w:r>
      <w:proofErr w:type="spellEnd"/>
      <w:r w:rsidRPr="00E30870">
        <w:rPr>
          <w:rFonts w:asciiTheme="majorBidi" w:hAnsiTheme="majorBidi" w:cstheme="majorBidi"/>
          <w:color w:val="000000" w:themeColor="text1"/>
          <w:sz w:val="24"/>
          <w:szCs w:val="24"/>
          <w:lang w:val="fr-BE"/>
        </w:rPr>
        <w:t xml:space="preserve">: </w:t>
      </w:r>
      <w:proofErr w:type="spellStart"/>
      <w:r w:rsidRPr="00E30870">
        <w:rPr>
          <w:rFonts w:asciiTheme="majorBidi" w:hAnsiTheme="majorBidi" w:cstheme="majorBidi"/>
          <w:color w:val="000000" w:themeColor="text1"/>
          <w:sz w:val="24"/>
          <w:szCs w:val="24"/>
          <w:lang w:val="fr-BE"/>
        </w:rPr>
        <w:t>surfactines</w:t>
      </w:r>
      <w:proofErr w:type="spellEnd"/>
      <w:r w:rsidRPr="00E30870">
        <w:rPr>
          <w:rFonts w:asciiTheme="majorBidi" w:hAnsiTheme="majorBidi" w:cstheme="majorBidi"/>
          <w:color w:val="000000" w:themeColor="text1"/>
          <w:sz w:val="24"/>
          <w:szCs w:val="24"/>
          <w:lang w:val="fr-BE"/>
        </w:rPr>
        <w:t xml:space="preserve">, </w:t>
      </w:r>
      <w:proofErr w:type="spellStart"/>
      <w:r w:rsidRPr="00E30870">
        <w:rPr>
          <w:rFonts w:asciiTheme="majorBidi" w:hAnsiTheme="majorBidi" w:cstheme="majorBidi"/>
          <w:color w:val="000000" w:themeColor="text1"/>
          <w:sz w:val="24"/>
          <w:szCs w:val="24"/>
          <w:lang w:val="fr-BE"/>
        </w:rPr>
        <w:t>iturines</w:t>
      </w:r>
      <w:proofErr w:type="spellEnd"/>
      <w:r w:rsidRPr="00E30870">
        <w:rPr>
          <w:rFonts w:asciiTheme="majorBidi" w:hAnsiTheme="majorBidi" w:cstheme="majorBidi"/>
          <w:color w:val="000000" w:themeColor="text1"/>
          <w:sz w:val="24"/>
          <w:szCs w:val="24"/>
          <w:lang w:val="fr-BE"/>
        </w:rPr>
        <w:t xml:space="preserve"> et fengycines dont la structure générale est un cycle peptidiq</w:t>
      </w:r>
      <w:r w:rsidR="00971BCE" w:rsidRPr="00E30870">
        <w:rPr>
          <w:rFonts w:asciiTheme="majorBidi" w:hAnsiTheme="majorBidi" w:cstheme="majorBidi"/>
          <w:color w:val="000000" w:themeColor="text1"/>
          <w:sz w:val="24"/>
          <w:szCs w:val="24"/>
          <w:lang w:val="fr-BE"/>
        </w:rPr>
        <w:t xml:space="preserve">ue de 7 L- et D-acides a-aminés </w:t>
      </w:r>
      <w:r w:rsidRPr="00E30870">
        <w:rPr>
          <w:rFonts w:asciiTheme="majorBidi" w:hAnsiTheme="majorBidi" w:cstheme="majorBidi"/>
          <w:color w:val="000000" w:themeColor="text1"/>
          <w:sz w:val="24"/>
          <w:szCs w:val="24"/>
          <w:lang w:val="fr-BE"/>
        </w:rPr>
        <w:t>(iturines et surfactine</w:t>
      </w:r>
      <w:r w:rsidR="00971BCE" w:rsidRPr="00E30870">
        <w:rPr>
          <w:rFonts w:asciiTheme="majorBidi" w:hAnsiTheme="majorBidi" w:cstheme="majorBidi"/>
          <w:color w:val="000000" w:themeColor="text1"/>
          <w:sz w:val="24"/>
          <w:szCs w:val="24"/>
          <w:lang w:val="fr-BE"/>
        </w:rPr>
        <w:t>) ou 10 L- et D-acides a-aminés</w:t>
      </w:r>
      <w:r w:rsidRPr="00E30870">
        <w:rPr>
          <w:rFonts w:asciiTheme="majorBidi" w:hAnsiTheme="majorBidi" w:cstheme="majorBidi"/>
          <w:color w:val="000000" w:themeColor="text1"/>
          <w:sz w:val="24"/>
          <w:szCs w:val="24"/>
          <w:lang w:val="fr-BE"/>
        </w:rPr>
        <w:t>: (</w:t>
      </w:r>
      <w:proofErr w:type="spellStart"/>
      <w:r w:rsidRPr="00E30870">
        <w:rPr>
          <w:rFonts w:asciiTheme="majorBidi" w:hAnsiTheme="majorBidi" w:cstheme="majorBidi"/>
          <w:color w:val="000000" w:themeColor="text1"/>
          <w:sz w:val="24"/>
          <w:szCs w:val="24"/>
          <w:lang w:val="fr-BE"/>
        </w:rPr>
        <w:t>fengycine</w:t>
      </w:r>
      <w:proofErr w:type="spellEnd"/>
      <w:r w:rsidRPr="00E30870">
        <w:rPr>
          <w:rFonts w:asciiTheme="majorBidi" w:hAnsiTheme="majorBidi" w:cstheme="majorBidi"/>
          <w:color w:val="000000" w:themeColor="text1"/>
          <w:sz w:val="24"/>
          <w:szCs w:val="24"/>
          <w:lang w:val="fr-BE"/>
        </w:rPr>
        <w:t xml:space="preserve"> et </w:t>
      </w:r>
      <w:proofErr w:type="spellStart"/>
      <w:r w:rsidRPr="00E30870">
        <w:rPr>
          <w:rFonts w:asciiTheme="majorBidi" w:hAnsiTheme="majorBidi" w:cstheme="majorBidi"/>
          <w:color w:val="000000" w:themeColor="text1"/>
          <w:sz w:val="24"/>
          <w:szCs w:val="24"/>
          <w:lang w:val="fr-BE"/>
        </w:rPr>
        <w:t>plipastatine</w:t>
      </w:r>
      <w:proofErr w:type="spellEnd"/>
      <w:r w:rsidRPr="00E30870">
        <w:rPr>
          <w:rFonts w:asciiTheme="majorBidi" w:hAnsiTheme="majorBidi" w:cstheme="majorBidi"/>
          <w:color w:val="000000" w:themeColor="text1"/>
          <w:sz w:val="24"/>
          <w:szCs w:val="24"/>
          <w:lang w:val="fr-BE"/>
        </w:rPr>
        <w:t xml:space="preserve">) </w:t>
      </w:r>
      <w:r w:rsidRPr="00E30870">
        <w:rPr>
          <w:rFonts w:asciiTheme="majorBidi" w:hAnsiTheme="majorBidi" w:cstheme="majorBidi"/>
          <w:color w:val="000000" w:themeColor="text1"/>
          <w:sz w:val="24"/>
          <w:szCs w:val="24"/>
        </w:rPr>
        <w:t>(</w:t>
      </w:r>
      <w:proofErr w:type="spellStart"/>
      <w:r w:rsidRPr="00E30870">
        <w:rPr>
          <w:rFonts w:asciiTheme="majorBidi" w:hAnsiTheme="majorBidi" w:cstheme="majorBidi"/>
          <w:color w:val="000000" w:themeColor="text1"/>
          <w:sz w:val="24"/>
          <w:szCs w:val="24"/>
        </w:rPr>
        <w:t>Ongena</w:t>
      </w:r>
      <w:proofErr w:type="spellEnd"/>
      <w:r w:rsidRPr="00E30870">
        <w:rPr>
          <w:rFonts w:asciiTheme="majorBidi" w:hAnsiTheme="majorBidi" w:cstheme="majorBidi"/>
          <w:color w:val="000000" w:themeColor="text1"/>
          <w:sz w:val="24"/>
          <w:szCs w:val="24"/>
        </w:rPr>
        <w:t xml:space="preserve"> et Jacques, 2008).</w:t>
      </w:r>
      <w:r w:rsidRPr="00E30870">
        <w:rPr>
          <w:rFonts w:asciiTheme="majorBidi" w:hAnsiTheme="majorBidi" w:cstheme="majorBidi"/>
          <w:color w:val="000000" w:themeColor="text1"/>
          <w:sz w:val="24"/>
          <w:szCs w:val="24"/>
          <w:lang w:val="fr-BE"/>
        </w:rPr>
        <w:t xml:space="preserve"> </w:t>
      </w:r>
      <w:r w:rsidRPr="00E30870">
        <w:rPr>
          <w:rFonts w:asciiTheme="majorBidi" w:hAnsiTheme="majorBidi" w:cstheme="majorBidi"/>
          <w:color w:val="000000" w:themeColor="text1"/>
          <w:sz w:val="24"/>
          <w:szCs w:val="24"/>
        </w:rPr>
        <w:t>Les lipopeptides sont synthétisés par des peptides non ribosomaux synthétase</w:t>
      </w:r>
      <w:r w:rsidR="00971BCE" w:rsidRPr="00E30870">
        <w:rPr>
          <w:rFonts w:asciiTheme="majorBidi" w:hAnsiTheme="majorBidi" w:cstheme="majorBidi"/>
          <w:color w:val="000000" w:themeColor="text1"/>
          <w:sz w:val="24"/>
          <w:szCs w:val="24"/>
        </w:rPr>
        <w:t>s (</w:t>
      </w:r>
      <w:proofErr w:type="spellStart"/>
      <w:r w:rsidR="00971BCE" w:rsidRPr="00E30870">
        <w:rPr>
          <w:rFonts w:asciiTheme="majorBidi" w:hAnsiTheme="majorBidi" w:cstheme="majorBidi"/>
          <w:color w:val="000000" w:themeColor="text1"/>
          <w:sz w:val="24"/>
          <w:szCs w:val="24"/>
        </w:rPr>
        <w:t>NRPSs</w:t>
      </w:r>
      <w:proofErr w:type="spellEnd"/>
      <w:r w:rsidR="00971BCE" w:rsidRPr="00E30870">
        <w:rPr>
          <w:rFonts w:asciiTheme="majorBidi" w:hAnsiTheme="majorBidi" w:cstheme="majorBidi"/>
          <w:color w:val="000000" w:themeColor="text1"/>
          <w:sz w:val="24"/>
          <w:szCs w:val="24"/>
        </w:rPr>
        <w:t>) par le processus de «</w:t>
      </w:r>
      <w:proofErr w:type="spellStart"/>
      <w:r w:rsidR="00971BCE" w:rsidRPr="00E30870">
        <w:rPr>
          <w:rFonts w:asciiTheme="majorBidi" w:hAnsiTheme="majorBidi" w:cstheme="majorBidi"/>
          <w:color w:val="000000" w:themeColor="text1"/>
          <w:sz w:val="24"/>
          <w:szCs w:val="24"/>
        </w:rPr>
        <w:t>thiotemplate</w:t>
      </w:r>
      <w:proofErr w:type="spellEnd"/>
      <w:r w:rsidRPr="00E30870">
        <w:rPr>
          <w:rFonts w:asciiTheme="majorBidi" w:hAnsiTheme="majorBidi" w:cstheme="majorBidi"/>
          <w:color w:val="000000" w:themeColor="text1"/>
          <w:sz w:val="24"/>
          <w:szCs w:val="24"/>
        </w:rPr>
        <w:t xml:space="preserve">». En revanche, les </w:t>
      </w:r>
      <w:proofErr w:type="spellStart"/>
      <w:r w:rsidRPr="00E30870">
        <w:rPr>
          <w:rFonts w:asciiTheme="majorBidi" w:hAnsiTheme="majorBidi" w:cstheme="majorBidi"/>
          <w:color w:val="000000" w:themeColor="text1"/>
          <w:sz w:val="24"/>
          <w:szCs w:val="24"/>
        </w:rPr>
        <w:t>polyketides</w:t>
      </w:r>
      <w:proofErr w:type="spellEnd"/>
      <w:r w:rsidRPr="00E30870">
        <w:rPr>
          <w:rFonts w:asciiTheme="majorBidi" w:hAnsiTheme="majorBidi" w:cstheme="majorBidi"/>
          <w:color w:val="000000" w:themeColor="text1"/>
          <w:sz w:val="24"/>
          <w:szCs w:val="24"/>
        </w:rPr>
        <w:t xml:space="preserve"> </w:t>
      </w:r>
      <w:r w:rsidR="00971BCE" w:rsidRPr="00E30870">
        <w:rPr>
          <w:rFonts w:asciiTheme="majorBidi" w:hAnsiTheme="majorBidi" w:cstheme="majorBidi"/>
          <w:color w:val="000000" w:themeColor="text1"/>
          <w:sz w:val="24"/>
          <w:szCs w:val="24"/>
        </w:rPr>
        <w:t>synthétase</w:t>
      </w:r>
      <w:r w:rsidRPr="00E30870">
        <w:rPr>
          <w:rFonts w:asciiTheme="majorBidi" w:hAnsiTheme="majorBidi" w:cstheme="majorBidi"/>
          <w:color w:val="000000" w:themeColor="text1"/>
          <w:sz w:val="24"/>
          <w:szCs w:val="24"/>
        </w:rPr>
        <w:t xml:space="preserve"> (PKS) et les acides gras synthétases interviennent aussi dans la synthèse de la famille des iturines par le processus </w:t>
      </w:r>
      <w:r w:rsidR="00971BCE" w:rsidRPr="00E30870">
        <w:rPr>
          <w:rFonts w:asciiTheme="majorBidi" w:hAnsiTheme="majorBidi" w:cstheme="majorBidi"/>
          <w:color w:val="000000" w:themeColor="text1"/>
          <w:sz w:val="24"/>
          <w:szCs w:val="24"/>
        </w:rPr>
        <w:t xml:space="preserve">de «PKS/NRPS </w:t>
      </w:r>
      <w:proofErr w:type="spellStart"/>
      <w:r w:rsidR="00971BCE" w:rsidRPr="00E30870">
        <w:rPr>
          <w:rFonts w:asciiTheme="majorBidi" w:hAnsiTheme="majorBidi" w:cstheme="majorBidi"/>
          <w:color w:val="000000" w:themeColor="text1"/>
          <w:sz w:val="24"/>
          <w:szCs w:val="24"/>
        </w:rPr>
        <w:t>template</w:t>
      </w:r>
      <w:proofErr w:type="spellEnd"/>
      <w:r w:rsidRPr="00E30870">
        <w:rPr>
          <w:rFonts w:asciiTheme="majorBidi" w:hAnsiTheme="majorBidi" w:cstheme="majorBidi"/>
          <w:color w:val="000000" w:themeColor="text1"/>
          <w:sz w:val="24"/>
          <w:szCs w:val="24"/>
        </w:rPr>
        <w:t>» (</w:t>
      </w:r>
      <w:proofErr w:type="spellStart"/>
      <w:r w:rsidRPr="00E30870">
        <w:rPr>
          <w:rFonts w:asciiTheme="majorBidi" w:hAnsiTheme="majorBidi" w:cstheme="majorBidi"/>
          <w:color w:val="000000" w:themeColor="text1"/>
          <w:sz w:val="24"/>
          <w:szCs w:val="24"/>
        </w:rPr>
        <w:t>Duitman</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1999; </w:t>
      </w:r>
      <w:proofErr w:type="spellStart"/>
      <w:r w:rsidRPr="00E30870">
        <w:rPr>
          <w:rFonts w:asciiTheme="majorBidi" w:hAnsiTheme="majorBidi" w:cstheme="majorBidi"/>
          <w:color w:val="000000" w:themeColor="text1"/>
          <w:sz w:val="24"/>
          <w:szCs w:val="24"/>
        </w:rPr>
        <w:t>Tsuge</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et al.,</w:t>
      </w:r>
      <w:r w:rsidRPr="00E30870">
        <w:rPr>
          <w:rFonts w:asciiTheme="majorBidi" w:hAnsiTheme="majorBidi" w:cstheme="majorBidi"/>
          <w:color w:val="000000" w:themeColor="text1"/>
          <w:sz w:val="24"/>
          <w:szCs w:val="24"/>
        </w:rPr>
        <w:t xml:space="preserve"> 2001; Hansen </w:t>
      </w:r>
      <w:r w:rsidRPr="00E30870">
        <w:rPr>
          <w:rFonts w:asciiTheme="majorBidi" w:hAnsiTheme="majorBidi" w:cstheme="majorBidi"/>
          <w:i/>
          <w:iCs/>
          <w:color w:val="000000" w:themeColor="text1"/>
          <w:sz w:val="24"/>
          <w:szCs w:val="24"/>
        </w:rPr>
        <w:t>et al.,</w:t>
      </w:r>
      <w:r w:rsidRPr="00E30870">
        <w:rPr>
          <w:rFonts w:asciiTheme="majorBidi" w:hAnsiTheme="majorBidi" w:cstheme="majorBidi"/>
          <w:color w:val="000000" w:themeColor="text1"/>
          <w:sz w:val="24"/>
          <w:szCs w:val="24"/>
        </w:rPr>
        <w:t xml:space="preserve"> 2007)</w:t>
      </w:r>
      <w:r w:rsidRPr="00E30870">
        <w:rPr>
          <w:rFonts w:asciiTheme="majorBidi" w:hAnsiTheme="majorBidi" w:cstheme="majorBidi"/>
          <w:color w:val="000000" w:themeColor="text1"/>
          <w:sz w:val="24"/>
          <w:szCs w:val="24"/>
          <w:lang w:val="fr-BE"/>
        </w:rPr>
        <w:t xml:space="preserve">. </w:t>
      </w:r>
    </w:p>
    <w:p w:rsidR="00C76691" w:rsidRPr="00E30870" w:rsidRDefault="00C76691" w:rsidP="00BE7077">
      <w:pPr>
        <w:autoSpaceDE w:val="0"/>
        <w:autoSpaceDN w:val="0"/>
        <w:adjustRightInd w:val="0"/>
        <w:spacing w:after="0" w:line="360" w:lineRule="auto"/>
        <w:jc w:val="both"/>
        <w:rPr>
          <w:rFonts w:asciiTheme="majorBidi" w:hAnsiTheme="majorBidi" w:cstheme="majorBidi"/>
          <w:color w:val="000000" w:themeColor="text1"/>
          <w:sz w:val="24"/>
          <w:szCs w:val="24"/>
        </w:rPr>
      </w:pPr>
    </w:p>
    <w:p w:rsidR="00BE7077" w:rsidRPr="00E30870" w:rsidRDefault="00534C26" w:rsidP="00BE7077">
      <w:pPr>
        <w:autoSpaceDE w:val="0"/>
        <w:autoSpaceDN w:val="0"/>
        <w:adjustRightInd w:val="0"/>
        <w:spacing w:after="0" w:line="360" w:lineRule="auto"/>
        <w:jc w:val="both"/>
        <w:rPr>
          <w:rFonts w:asciiTheme="majorBidi" w:hAnsiTheme="majorBidi" w:cstheme="majorBidi"/>
          <w:color w:val="000000" w:themeColor="text1"/>
          <w:sz w:val="24"/>
          <w:szCs w:val="24"/>
          <w:lang w:val="fr-BE"/>
        </w:rPr>
      </w:pPr>
      <w:r w:rsidRPr="00E30870">
        <w:rPr>
          <w:rFonts w:asciiTheme="majorBidi" w:hAnsiTheme="majorBidi" w:cstheme="majorBidi"/>
          <w:color w:val="000000" w:themeColor="text1"/>
          <w:sz w:val="24"/>
          <w:szCs w:val="24"/>
        </w:rPr>
        <w:t>La famille des surf</w:t>
      </w:r>
      <w:r w:rsidR="00BE7077" w:rsidRPr="00E30870">
        <w:rPr>
          <w:rFonts w:asciiTheme="majorBidi" w:hAnsiTheme="majorBidi" w:cstheme="majorBidi"/>
          <w:color w:val="000000" w:themeColor="text1"/>
          <w:sz w:val="24"/>
          <w:szCs w:val="24"/>
        </w:rPr>
        <w:t xml:space="preserve">actines englobe les variantes </w:t>
      </w:r>
      <w:proofErr w:type="spellStart"/>
      <w:r w:rsidR="00BE7077" w:rsidRPr="00E30870">
        <w:rPr>
          <w:rFonts w:asciiTheme="majorBidi" w:hAnsiTheme="majorBidi" w:cstheme="majorBidi"/>
          <w:color w:val="000000" w:themeColor="text1"/>
          <w:sz w:val="24"/>
          <w:szCs w:val="24"/>
        </w:rPr>
        <w:t>hé</w:t>
      </w:r>
      <w:r w:rsidRPr="00E30870">
        <w:rPr>
          <w:rFonts w:asciiTheme="majorBidi" w:hAnsiTheme="majorBidi" w:cstheme="majorBidi"/>
          <w:color w:val="000000" w:themeColor="text1"/>
          <w:sz w:val="24"/>
          <w:szCs w:val="24"/>
        </w:rPr>
        <w:t>ptapeptidiques</w:t>
      </w:r>
      <w:proofErr w:type="spellEnd"/>
      <w:r w:rsidRPr="00E30870">
        <w:rPr>
          <w:rFonts w:asciiTheme="majorBidi" w:hAnsiTheme="majorBidi" w:cstheme="majorBidi"/>
          <w:color w:val="000000" w:themeColor="text1"/>
          <w:sz w:val="24"/>
          <w:szCs w:val="24"/>
        </w:rPr>
        <w:t xml:space="preserve"> d’</w:t>
      </w:r>
      <w:proofErr w:type="spellStart"/>
      <w:r w:rsidRPr="00E30870">
        <w:rPr>
          <w:rFonts w:asciiTheme="majorBidi" w:hAnsiTheme="majorBidi" w:cstheme="majorBidi"/>
          <w:color w:val="000000" w:themeColor="text1"/>
          <w:sz w:val="24"/>
          <w:szCs w:val="24"/>
        </w:rPr>
        <w:t>esperine</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lichenysine</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pumilacidine</w:t>
      </w:r>
      <w:proofErr w:type="spellEnd"/>
      <w:r w:rsidRPr="00E30870">
        <w:rPr>
          <w:rFonts w:asciiTheme="majorBidi" w:hAnsiTheme="majorBidi" w:cstheme="majorBidi"/>
          <w:color w:val="000000" w:themeColor="text1"/>
          <w:sz w:val="24"/>
          <w:szCs w:val="24"/>
        </w:rPr>
        <w:t xml:space="preserve"> et de surfactine. </w:t>
      </w:r>
      <w:r w:rsidRPr="00E30870">
        <w:rPr>
          <w:rFonts w:asciiTheme="majorBidi" w:hAnsiTheme="majorBidi" w:cstheme="majorBidi"/>
          <w:color w:val="000000" w:themeColor="text1"/>
          <w:sz w:val="24"/>
          <w:szCs w:val="24"/>
          <w:lang w:val="fr-BE"/>
        </w:rPr>
        <w:t xml:space="preserve">Le cycle </w:t>
      </w:r>
      <w:proofErr w:type="spellStart"/>
      <w:r w:rsidRPr="00E30870">
        <w:rPr>
          <w:rFonts w:asciiTheme="majorBidi" w:hAnsiTheme="majorBidi" w:cstheme="majorBidi"/>
          <w:color w:val="000000" w:themeColor="text1"/>
          <w:sz w:val="24"/>
          <w:szCs w:val="24"/>
          <w:lang w:val="fr-BE"/>
        </w:rPr>
        <w:t>héptapeptidique</w:t>
      </w:r>
      <w:proofErr w:type="spellEnd"/>
      <w:r w:rsidRPr="00E30870">
        <w:rPr>
          <w:rFonts w:asciiTheme="majorBidi" w:hAnsiTheme="majorBidi" w:cstheme="majorBidi"/>
          <w:color w:val="000000" w:themeColor="text1"/>
          <w:sz w:val="24"/>
          <w:szCs w:val="24"/>
          <w:lang w:val="fr-BE"/>
        </w:rPr>
        <w:t xml:space="preserve"> est directement lié à une longue chaîne hydrocarbonée (C12-C16), par une liaison ester.</w:t>
      </w:r>
    </w:p>
    <w:p w:rsidR="00E81341" w:rsidRPr="00E30870" w:rsidRDefault="00534C26" w:rsidP="00BE7077">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lang w:val="fr-BE"/>
        </w:rPr>
        <w:t xml:space="preserve">L’iturine A et C, </w:t>
      </w:r>
      <w:proofErr w:type="spellStart"/>
      <w:r w:rsidRPr="00E30870">
        <w:rPr>
          <w:rFonts w:asciiTheme="majorBidi" w:hAnsiTheme="majorBidi" w:cstheme="majorBidi"/>
          <w:color w:val="000000" w:themeColor="text1"/>
          <w:sz w:val="24"/>
          <w:szCs w:val="24"/>
          <w:lang w:val="fr-BE"/>
        </w:rPr>
        <w:t>bacillomycine</w:t>
      </w:r>
      <w:proofErr w:type="spellEnd"/>
      <w:r w:rsidRPr="00E30870">
        <w:rPr>
          <w:rFonts w:asciiTheme="majorBidi" w:hAnsiTheme="majorBidi" w:cstheme="majorBidi"/>
          <w:color w:val="000000" w:themeColor="text1"/>
          <w:sz w:val="24"/>
          <w:szCs w:val="24"/>
          <w:lang w:val="fr-BE"/>
        </w:rPr>
        <w:t xml:space="preserve"> D, F et L, et la </w:t>
      </w:r>
      <w:proofErr w:type="spellStart"/>
      <w:r w:rsidRPr="00E30870">
        <w:rPr>
          <w:rFonts w:asciiTheme="majorBidi" w:hAnsiTheme="majorBidi" w:cstheme="majorBidi"/>
          <w:color w:val="000000" w:themeColor="text1"/>
          <w:sz w:val="24"/>
          <w:szCs w:val="24"/>
          <w:lang w:val="fr-BE"/>
        </w:rPr>
        <w:t>mycosubtiline</w:t>
      </w:r>
      <w:proofErr w:type="spellEnd"/>
      <w:r w:rsidRPr="00E30870">
        <w:rPr>
          <w:rFonts w:asciiTheme="majorBidi" w:hAnsiTheme="majorBidi" w:cstheme="majorBidi"/>
          <w:color w:val="000000" w:themeColor="text1"/>
          <w:sz w:val="24"/>
          <w:szCs w:val="24"/>
          <w:lang w:val="fr-BE"/>
        </w:rPr>
        <w:t xml:space="preserve"> sont les six principales variantes de la famille des iturines. </w:t>
      </w:r>
      <w:r w:rsidR="00E81341" w:rsidRPr="00E30870">
        <w:rPr>
          <w:rFonts w:asciiTheme="majorBidi" w:hAnsiTheme="majorBidi" w:cstheme="majorBidi"/>
          <w:color w:val="000000" w:themeColor="text1"/>
          <w:sz w:val="24"/>
          <w:szCs w:val="24"/>
        </w:rPr>
        <w:t xml:space="preserve">Dans le cas des </w:t>
      </w:r>
      <w:proofErr w:type="spellStart"/>
      <w:r w:rsidR="00E81341" w:rsidRPr="00E30870">
        <w:rPr>
          <w:rFonts w:asciiTheme="majorBidi" w:hAnsiTheme="majorBidi" w:cstheme="majorBidi"/>
          <w:color w:val="000000" w:themeColor="text1"/>
          <w:sz w:val="24"/>
          <w:szCs w:val="24"/>
        </w:rPr>
        <w:t>iturines</w:t>
      </w:r>
      <w:proofErr w:type="spellEnd"/>
      <w:r w:rsidR="00E81341" w:rsidRPr="00E30870">
        <w:rPr>
          <w:rFonts w:asciiTheme="majorBidi" w:hAnsiTheme="majorBidi" w:cstheme="majorBidi"/>
          <w:color w:val="000000" w:themeColor="text1"/>
          <w:sz w:val="24"/>
          <w:szCs w:val="24"/>
        </w:rPr>
        <w:t>, l’</w:t>
      </w:r>
      <w:proofErr w:type="spellStart"/>
      <w:r w:rsidR="00E81341" w:rsidRPr="00E30870">
        <w:rPr>
          <w:rFonts w:asciiTheme="majorBidi" w:hAnsiTheme="majorBidi" w:cstheme="majorBidi"/>
          <w:color w:val="000000" w:themeColor="text1"/>
          <w:sz w:val="24"/>
          <w:szCs w:val="24"/>
        </w:rPr>
        <w:t>hé</w:t>
      </w:r>
      <w:r w:rsidRPr="00E30870">
        <w:rPr>
          <w:rFonts w:asciiTheme="majorBidi" w:hAnsiTheme="majorBidi" w:cstheme="majorBidi"/>
          <w:color w:val="000000" w:themeColor="text1"/>
          <w:sz w:val="24"/>
          <w:szCs w:val="24"/>
        </w:rPr>
        <w:t>ptapeptide</w:t>
      </w:r>
      <w:proofErr w:type="spellEnd"/>
      <w:r w:rsidRPr="00E30870">
        <w:rPr>
          <w:rFonts w:asciiTheme="majorBidi" w:hAnsiTheme="majorBidi" w:cstheme="majorBidi"/>
          <w:color w:val="000000" w:themeColor="text1"/>
          <w:sz w:val="24"/>
          <w:szCs w:val="24"/>
        </w:rPr>
        <w:t xml:space="preserve"> est lié à l’acide gras (C14–C17) par une liaison amide. </w:t>
      </w:r>
    </w:p>
    <w:p w:rsidR="00C76691" w:rsidRPr="00E30870" w:rsidRDefault="00C76691" w:rsidP="00BE7077">
      <w:pPr>
        <w:autoSpaceDE w:val="0"/>
        <w:autoSpaceDN w:val="0"/>
        <w:adjustRightInd w:val="0"/>
        <w:spacing w:after="0" w:line="360" w:lineRule="auto"/>
        <w:jc w:val="both"/>
        <w:rPr>
          <w:rFonts w:asciiTheme="majorBidi" w:hAnsiTheme="majorBidi" w:cstheme="majorBidi"/>
          <w:color w:val="000000" w:themeColor="text1"/>
          <w:sz w:val="24"/>
          <w:szCs w:val="24"/>
        </w:rPr>
      </w:pPr>
    </w:p>
    <w:p w:rsidR="00534C26" w:rsidRPr="00E30870" w:rsidRDefault="00534C26" w:rsidP="00BE7077">
      <w:pPr>
        <w:autoSpaceDE w:val="0"/>
        <w:autoSpaceDN w:val="0"/>
        <w:adjustRightInd w:val="0"/>
        <w:spacing w:after="0" w:line="360" w:lineRule="auto"/>
        <w:jc w:val="both"/>
        <w:rPr>
          <w:rFonts w:asciiTheme="majorBidi" w:hAnsiTheme="majorBidi" w:cstheme="majorBidi"/>
          <w:color w:val="000000" w:themeColor="text1"/>
          <w:sz w:val="24"/>
          <w:szCs w:val="24"/>
          <w:lang w:val="fr-BE"/>
        </w:rPr>
      </w:pPr>
      <w:r w:rsidRPr="00E30870">
        <w:rPr>
          <w:rFonts w:asciiTheme="majorBidi" w:hAnsiTheme="majorBidi" w:cstheme="majorBidi"/>
          <w:color w:val="000000" w:themeColor="text1"/>
          <w:sz w:val="24"/>
          <w:szCs w:val="24"/>
        </w:rPr>
        <w:t>La troisième famille comprend les fengycine</w:t>
      </w:r>
      <w:r w:rsidR="00E81341" w:rsidRPr="00E30870">
        <w:rPr>
          <w:rFonts w:asciiTheme="majorBidi" w:hAnsiTheme="majorBidi" w:cstheme="majorBidi"/>
          <w:color w:val="000000" w:themeColor="text1"/>
          <w:sz w:val="24"/>
          <w:szCs w:val="24"/>
        </w:rPr>
        <w:t xml:space="preserve"> A et B, ou </w:t>
      </w:r>
      <w:proofErr w:type="spellStart"/>
      <w:r w:rsidR="00E81341" w:rsidRPr="00E30870">
        <w:rPr>
          <w:rFonts w:asciiTheme="majorBidi" w:hAnsiTheme="majorBidi" w:cstheme="majorBidi"/>
          <w:color w:val="000000" w:themeColor="text1"/>
          <w:sz w:val="24"/>
          <w:szCs w:val="24"/>
        </w:rPr>
        <w:t>plipastatine</w:t>
      </w:r>
      <w:proofErr w:type="spellEnd"/>
      <w:r w:rsidR="00E81341" w:rsidRPr="00E30870">
        <w:rPr>
          <w:rFonts w:asciiTheme="majorBidi" w:hAnsiTheme="majorBidi" w:cstheme="majorBidi"/>
          <w:color w:val="000000" w:themeColor="text1"/>
          <w:sz w:val="24"/>
          <w:szCs w:val="24"/>
        </w:rPr>
        <w:t xml:space="preserve">, si le </w:t>
      </w:r>
      <w:r w:rsidRPr="00E30870">
        <w:rPr>
          <w:rFonts w:asciiTheme="majorBidi" w:hAnsiTheme="majorBidi" w:cstheme="majorBidi"/>
          <w:color w:val="000000" w:themeColor="text1"/>
          <w:sz w:val="24"/>
          <w:szCs w:val="24"/>
        </w:rPr>
        <w:t>Tyr</w:t>
      </w:r>
      <w:r w:rsidRPr="00E30870">
        <w:rPr>
          <w:rFonts w:asciiTheme="majorBidi" w:hAnsiTheme="majorBidi" w:cstheme="majorBidi"/>
          <w:color w:val="000000" w:themeColor="text1"/>
          <w:sz w:val="24"/>
          <w:szCs w:val="24"/>
          <w:vertAlign w:val="subscript"/>
        </w:rPr>
        <w:t xml:space="preserve">9 </w:t>
      </w:r>
      <w:r w:rsidRPr="00E30870">
        <w:rPr>
          <w:rFonts w:asciiTheme="majorBidi" w:hAnsiTheme="majorBidi" w:cstheme="majorBidi"/>
          <w:color w:val="000000" w:themeColor="text1"/>
          <w:sz w:val="24"/>
          <w:szCs w:val="24"/>
        </w:rPr>
        <w:t>est de configuration D.</w:t>
      </w:r>
      <w:r w:rsidRPr="00E30870">
        <w:rPr>
          <w:rFonts w:asciiTheme="majorBidi" w:hAnsiTheme="majorBidi" w:cstheme="majorBidi"/>
          <w:color w:val="000000" w:themeColor="text1"/>
          <w:sz w:val="24"/>
          <w:szCs w:val="24"/>
          <w:lang w:val="fr-BE"/>
        </w:rPr>
        <w:t xml:space="preserve"> C’est un </w:t>
      </w:r>
      <w:proofErr w:type="spellStart"/>
      <w:r w:rsidRPr="00E30870">
        <w:rPr>
          <w:rFonts w:asciiTheme="majorBidi" w:hAnsiTheme="majorBidi" w:cstheme="majorBidi"/>
          <w:color w:val="000000" w:themeColor="text1"/>
          <w:sz w:val="24"/>
          <w:szCs w:val="24"/>
          <w:lang w:val="fr-BE"/>
        </w:rPr>
        <w:t>acyldécapeptide</w:t>
      </w:r>
      <w:proofErr w:type="spellEnd"/>
      <w:r w:rsidRPr="00E30870">
        <w:rPr>
          <w:rFonts w:asciiTheme="majorBidi" w:hAnsiTheme="majorBidi" w:cstheme="majorBidi"/>
          <w:color w:val="000000" w:themeColor="text1"/>
          <w:sz w:val="24"/>
          <w:szCs w:val="24"/>
          <w:lang w:val="fr-BE"/>
        </w:rPr>
        <w:t xml:space="preserve"> cyclique formant une structure </w:t>
      </w:r>
      <w:proofErr w:type="spellStart"/>
      <w:r w:rsidRPr="00E30870">
        <w:rPr>
          <w:rFonts w:asciiTheme="majorBidi" w:hAnsiTheme="majorBidi" w:cstheme="majorBidi"/>
          <w:color w:val="000000" w:themeColor="text1"/>
          <w:sz w:val="24"/>
          <w:szCs w:val="24"/>
          <w:lang w:val="fr-BE"/>
        </w:rPr>
        <w:t>lactonique</w:t>
      </w:r>
      <w:proofErr w:type="spellEnd"/>
      <w:r w:rsidRPr="00E30870">
        <w:rPr>
          <w:rFonts w:asciiTheme="majorBidi" w:hAnsiTheme="majorBidi" w:cstheme="majorBidi"/>
          <w:color w:val="000000" w:themeColor="text1"/>
          <w:sz w:val="24"/>
          <w:szCs w:val="24"/>
          <w:lang w:val="fr-BE"/>
        </w:rPr>
        <w:t xml:space="preserve"> constituée d’une chaîne d’acide gras 3-hydroxylée ayant 14 à 1</w:t>
      </w:r>
      <w:r w:rsidRPr="00E30870">
        <w:rPr>
          <w:rFonts w:asciiTheme="majorBidi" w:hAnsiTheme="majorBidi" w:cstheme="majorBidi"/>
          <w:color w:val="000000" w:themeColor="text1"/>
          <w:sz w:val="24"/>
          <w:szCs w:val="24"/>
        </w:rPr>
        <w:t xml:space="preserve">9 </w:t>
      </w:r>
      <w:r w:rsidRPr="00E30870">
        <w:rPr>
          <w:rFonts w:asciiTheme="majorBidi" w:hAnsiTheme="majorBidi" w:cstheme="majorBidi"/>
          <w:color w:val="000000" w:themeColor="text1"/>
          <w:sz w:val="24"/>
          <w:szCs w:val="24"/>
          <w:lang w:val="fr-BE"/>
        </w:rPr>
        <w:t xml:space="preserve">atomes de carbone liée à l’acide a-aminé (L-Glu). Contrairement aux surfactines où la liaison ester est formée entre l’acide a-aminé C-terminal et le groupement </w:t>
      </w:r>
      <w:proofErr w:type="spellStart"/>
      <w:r w:rsidRPr="00E30870">
        <w:rPr>
          <w:rFonts w:asciiTheme="majorBidi" w:hAnsiTheme="majorBidi" w:cstheme="majorBidi"/>
          <w:color w:val="000000" w:themeColor="text1"/>
          <w:sz w:val="24"/>
          <w:szCs w:val="24"/>
          <w:lang w:val="fr-BE"/>
        </w:rPr>
        <w:t>hydroxyl</w:t>
      </w:r>
      <w:proofErr w:type="spellEnd"/>
      <w:r w:rsidRPr="00E30870">
        <w:rPr>
          <w:rFonts w:asciiTheme="majorBidi" w:hAnsiTheme="majorBidi" w:cstheme="majorBidi"/>
          <w:color w:val="000000" w:themeColor="text1"/>
          <w:sz w:val="24"/>
          <w:szCs w:val="24"/>
          <w:lang w:val="fr-BE"/>
        </w:rPr>
        <w:t xml:space="preserve"> de l’acide gras, la connexion de l’acide a-aminé C-terminal de la fengycine se fait avec le résidu Tyr</w:t>
      </w:r>
      <w:r w:rsidRPr="00E30870">
        <w:rPr>
          <w:rFonts w:asciiTheme="majorBidi" w:hAnsiTheme="majorBidi" w:cstheme="majorBidi"/>
          <w:color w:val="000000" w:themeColor="text1"/>
          <w:sz w:val="24"/>
          <w:szCs w:val="24"/>
          <w:vertAlign w:val="subscript"/>
          <w:lang w:val="fr-BE"/>
        </w:rPr>
        <w:t>3</w:t>
      </w:r>
      <w:r w:rsidRPr="00E30870">
        <w:rPr>
          <w:rFonts w:asciiTheme="majorBidi" w:hAnsiTheme="majorBidi" w:cstheme="majorBidi"/>
          <w:color w:val="000000" w:themeColor="text1"/>
          <w:sz w:val="24"/>
          <w:szCs w:val="24"/>
          <w:lang w:val="fr-BE"/>
        </w:rPr>
        <w:t xml:space="preserve"> de la séquenc</w:t>
      </w:r>
      <w:r w:rsidR="00F85295" w:rsidRPr="00E30870">
        <w:rPr>
          <w:rFonts w:asciiTheme="majorBidi" w:hAnsiTheme="majorBidi" w:cstheme="majorBidi"/>
          <w:color w:val="000000" w:themeColor="text1"/>
          <w:sz w:val="24"/>
          <w:szCs w:val="24"/>
          <w:lang w:val="fr-BE"/>
        </w:rPr>
        <w:t>e d’acides aminés (figure 10).</w:t>
      </w: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lang w:val="fr-BE"/>
        </w:rPr>
      </w:pPr>
    </w:p>
    <w:p w:rsidR="00534C26" w:rsidRPr="00E30870" w:rsidRDefault="00F83B7D" w:rsidP="00534C26">
      <w:pPr>
        <w:rPr>
          <w:rFonts w:asciiTheme="majorBidi" w:hAnsiTheme="majorBidi" w:cstheme="majorBidi"/>
          <w:color w:val="000000" w:themeColor="text1"/>
        </w:rPr>
      </w:pPr>
      <w:r>
        <w:rPr>
          <w:rFonts w:asciiTheme="majorBidi" w:hAnsiTheme="majorBidi" w:cstheme="majorBidi"/>
          <w:noProof/>
          <w:color w:val="000000" w:themeColor="text1"/>
          <w:lang w:eastAsia="fr-FR"/>
        </w:rPr>
        <w:lastRenderedPageBreak/>
        <w:pict>
          <v:rect id="_x0000_s1035" style="position:absolute;margin-left:-5.5pt;margin-top:-10.95pt;width:471.95pt;height:469.5pt;z-index:-251646976" stroked="f" strokecolor="blue" strokeweight="1pt"/>
        </w:pict>
      </w:r>
      <w:r w:rsidR="00534C26" w:rsidRPr="00E30870">
        <w:rPr>
          <w:rFonts w:asciiTheme="majorBidi" w:hAnsiTheme="majorBidi" w:cstheme="majorBidi"/>
          <w:noProof/>
          <w:color w:val="000000" w:themeColor="text1"/>
          <w:lang w:eastAsia="fr-FR"/>
        </w:rPr>
        <w:drawing>
          <wp:inline distT="0" distB="0" distL="0" distR="0">
            <wp:extent cx="5759343" cy="2174581"/>
            <wp:effectExtent l="19050" t="0" r="0" b="0"/>
            <wp:docPr id="34"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881" cy="2882354"/>
                      <a:chOff x="539551" y="548680"/>
                      <a:chExt cx="7920881" cy="2882354"/>
                    </a:xfrm>
                  </a:grpSpPr>
                  <a:grpSp>
                    <a:nvGrpSpPr>
                      <a:cNvPr id="9" name="Groupe 8"/>
                      <a:cNvGrpSpPr/>
                    </a:nvGrpSpPr>
                    <a:grpSpPr>
                      <a:xfrm>
                        <a:off x="539551" y="548680"/>
                        <a:ext cx="7920881" cy="2882354"/>
                        <a:chOff x="539551" y="548680"/>
                        <a:chExt cx="7920881" cy="2882354"/>
                      </a:xfrm>
                    </a:grpSpPr>
                    <a:grpSp>
                      <a:nvGrpSpPr>
                        <a:cNvPr id="3" name="Groupe 6"/>
                        <a:cNvGrpSpPr/>
                      </a:nvGrpSpPr>
                      <a:grpSpPr>
                        <a:xfrm>
                          <a:off x="539551" y="548680"/>
                          <a:ext cx="7920881" cy="2882354"/>
                          <a:chOff x="539551" y="548680"/>
                          <a:chExt cx="7920881" cy="2882354"/>
                        </a:xfrm>
                      </a:grpSpPr>
                      <a:pic>
                        <a:nvPicPr>
                          <a:cNvPr id="1026" name="Picture 2"/>
                          <a:cNvPicPr>
                            <a:picLocks noChangeAspect="1" noChangeArrowheads="1"/>
                          </a:cNvPicPr>
                        </a:nvPicPr>
                        <a:blipFill>
                          <a:blip r:embed="rId43"/>
                          <a:srcRect l="28418" t="32360" r="28024" b="37400"/>
                          <a:stretch>
                            <a:fillRect/>
                          </a:stretch>
                        </a:blipFill>
                        <a:spPr bwMode="auto">
                          <a:xfrm>
                            <a:off x="539551" y="548680"/>
                            <a:ext cx="4248473" cy="1728193"/>
                          </a:xfrm>
                          <a:prstGeom prst="rect">
                            <a:avLst/>
                          </a:prstGeom>
                          <a:noFill/>
                          <a:ln w="9525">
                            <a:noFill/>
                            <a:miter lim="800000"/>
                            <a:headEnd/>
                            <a:tailEnd/>
                          </a:ln>
                        </a:spPr>
                      </a:pic>
                      <a:sp>
                        <a:nvSpPr>
                          <a:cNvPr id="5" name="ZoneTexte 4"/>
                          <a:cNvSpPr txBox="1"/>
                        </a:nvSpPr>
                        <a:spPr>
                          <a:xfrm>
                            <a:off x="4644008" y="908720"/>
                            <a:ext cx="3816424" cy="2062103"/>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err="1"/>
                                <a:t>Bacillomycine</a:t>
                              </a:r>
                              <a:r>
                                <a:rPr lang="en-US" sz="1100" b="1" dirty="0"/>
                                <a:t> D:</a:t>
                              </a:r>
                              <a:r>
                                <a:rPr lang="en-US" sz="1100" dirty="0"/>
                                <a:t> L-</a:t>
                              </a:r>
                              <a:r>
                                <a:rPr lang="en-US" sz="1100" dirty="0" err="1"/>
                                <a:t>Asn</a:t>
                              </a:r>
                              <a:r>
                                <a:rPr lang="en-US" sz="1100" dirty="0"/>
                                <a:t>/ D-Tyr/ D-</a:t>
                              </a:r>
                              <a:r>
                                <a:rPr lang="en-US" sz="1100" dirty="0" err="1"/>
                                <a:t>Asn</a:t>
                              </a:r>
                              <a:r>
                                <a:rPr lang="en-US" sz="1100" dirty="0"/>
                                <a:t>/ L-Pro/ L-</a:t>
                              </a:r>
                              <a:r>
                                <a:rPr lang="en-US" sz="1100" dirty="0" err="1"/>
                                <a:t>Glu</a:t>
                              </a:r>
                              <a:r>
                                <a:rPr lang="en-US" sz="1100" dirty="0"/>
                                <a:t>/ D-Ser/ L-</a:t>
                              </a:r>
                              <a:r>
                                <a:rPr lang="en-US" sz="1100" dirty="0" err="1"/>
                                <a:t>Thr</a:t>
                              </a:r>
                              <a:endParaRPr lang="fr-FR" sz="1100" dirty="0"/>
                            </a:p>
                            <a:p>
                              <a:r>
                                <a:rPr lang="en-US" sz="1100" b="1" dirty="0" err="1"/>
                                <a:t>Bacillomycine</a:t>
                              </a:r>
                              <a:r>
                                <a:rPr lang="en-US" sz="1100" b="1" dirty="0"/>
                                <a:t> F:</a:t>
                              </a:r>
                              <a:r>
                                <a:rPr lang="en-US" sz="1100" dirty="0"/>
                                <a:t> L-</a:t>
                              </a:r>
                              <a:r>
                                <a:rPr lang="en-US" sz="1100" dirty="0" err="1"/>
                                <a:t>Asn</a:t>
                              </a:r>
                              <a:r>
                                <a:rPr lang="en-US" sz="1100" dirty="0"/>
                                <a:t>/ D-Tyr/ D-</a:t>
                              </a:r>
                              <a:r>
                                <a:rPr lang="en-US" sz="1100" dirty="0" err="1"/>
                                <a:t>Asn</a:t>
                              </a:r>
                              <a:r>
                                <a:rPr lang="en-US" sz="1100" dirty="0"/>
                                <a:t>/ L-</a:t>
                              </a:r>
                              <a:r>
                                <a:rPr lang="en-US" sz="1100" dirty="0" err="1"/>
                                <a:t>Gln</a:t>
                              </a:r>
                              <a:r>
                                <a:rPr lang="en-US" sz="1100" dirty="0"/>
                                <a:t>/ L-Pro/ D-</a:t>
                              </a:r>
                              <a:r>
                                <a:rPr lang="en-US" sz="1100" dirty="0" err="1"/>
                                <a:t>Asn</a:t>
                              </a:r>
                              <a:r>
                                <a:rPr lang="en-US" sz="1100" dirty="0"/>
                                <a:t>/ L-</a:t>
                              </a:r>
                              <a:r>
                                <a:rPr lang="en-US" sz="1100" dirty="0" err="1"/>
                                <a:t>Thr</a:t>
                              </a:r>
                              <a:endParaRPr lang="fr-FR" sz="1100" dirty="0"/>
                            </a:p>
                            <a:p>
                              <a:r>
                                <a:rPr lang="en-US" sz="1100" b="1" dirty="0" err="1"/>
                                <a:t>Bacillomycine</a:t>
                              </a:r>
                              <a:r>
                                <a:rPr lang="en-US" sz="1100" b="1" dirty="0"/>
                                <a:t> L</a:t>
                              </a:r>
                              <a:r>
                                <a:rPr lang="en-US" sz="1100" dirty="0"/>
                                <a:t>: L-</a:t>
                              </a:r>
                              <a:r>
                                <a:rPr lang="en-US" sz="1100" dirty="0" err="1"/>
                                <a:t>Asn</a:t>
                              </a:r>
                              <a:r>
                                <a:rPr lang="en-US" sz="1100" dirty="0"/>
                                <a:t>/ D-Tyr/ D-</a:t>
                              </a:r>
                              <a:r>
                                <a:rPr lang="en-US" sz="1100" dirty="0" err="1"/>
                                <a:t>Asn</a:t>
                              </a:r>
                              <a:r>
                                <a:rPr lang="en-US" sz="1100" dirty="0"/>
                                <a:t>/ L-Ser/ L-</a:t>
                              </a:r>
                              <a:r>
                                <a:rPr lang="en-US" sz="1100" dirty="0" err="1"/>
                                <a:t>Gln</a:t>
                              </a:r>
                              <a:r>
                                <a:rPr lang="en-US" sz="1100" dirty="0"/>
                                <a:t>/ D-Ser/ L-</a:t>
                              </a:r>
                              <a:r>
                                <a:rPr lang="en-US" sz="1100" dirty="0" err="1"/>
                                <a:t>Thr</a:t>
                              </a:r>
                              <a:endParaRPr lang="fr-FR" sz="1100" dirty="0"/>
                            </a:p>
                            <a:p>
                              <a:r>
                                <a:rPr lang="en-US" sz="1100" b="1" dirty="0" err="1"/>
                                <a:t>Bacillomycine</a:t>
                              </a:r>
                              <a:r>
                                <a:rPr lang="en-US" sz="1100" b="1" dirty="0"/>
                                <a:t> LC</a:t>
                              </a:r>
                              <a:r>
                                <a:rPr lang="en-US" sz="1100" dirty="0"/>
                                <a:t>: L-</a:t>
                              </a:r>
                              <a:r>
                                <a:rPr lang="en-US" sz="1100" dirty="0" err="1"/>
                                <a:t>Asn</a:t>
                              </a:r>
                              <a:r>
                                <a:rPr lang="en-US" sz="1100" dirty="0"/>
                                <a:t>/ D-Tyr/ D-</a:t>
                              </a:r>
                              <a:r>
                                <a:rPr lang="en-US" sz="1100" dirty="0" err="1"/>
                                <a:t>Asn</a:t>
                              </a:r>
                              <a:r>
                                <a:rPr lang="en-US" sz="1100" dirty="0"/>
                                <a:t>/ L-Ser/ L-</a:t>
                              </a:r>
                              <a:r>
                                <a:rPr lang="en-US" sz="1100" dirty="0" err="1"/>
                                <a:t>Glu</a:t>
                              </a:r>
                              <a:r>
                                <a:rPr lang="en-US" sz="1100" dirty="0"/>
                                <a:t>/ D-Ser/ L-</a:t>
                              </a:r>
                              <a:r>
                                <a:rPr lang="en-US" sz="1100" dirty="0" err="1"/>
                                <a:t>Thr</a:t>
                              </a:r>
                              <a:endParaRPr lang="fr-FR" sz="1100" dirty="0"/>
                            </a:p>
                            <a:p>
                              <a:r>
                                <a:rPr lang="en-US" sz="1100" b="1" dirty="0"/>
                                <a:t>Iturine A</a:t>
                              </a:r>
                              <a:r>
                                <a:rPr lang="en-US" sz="1100" dirty="0"/>
                                <a:t>: L-</a:t>
                              </a:r>
                              <a:r>
                                <a:rPr lang="en-US" sz="1100" dirty="0" err="1"/>
                                <a:t>Asn</a:t>
                              </a:r>
                              <a:r>
                                <a:rPr lang="en-US" sz="1100" dirty="0"/>
                                <a:t>/ D-Tyr/ D-</a:t>
                              </a:r>
                              <a:r>
                                <a:rPr lang="en-US" sz="1100" dirty="0" err="1"/>
                                <a:t>Asn</a:t>
                              </a:r>
                              <a:r>
                                <a:rPr lang="en-US" sz="1100" dirty="0"/>
                                <a:t>/ L-</a:t>
                              </a:r>
                              <a:r>
                                <a:rPr lang="en-US" sz="1100" dirty="0" err="1"/>
                                <a:t>Gln</a:t>
                              </a:r>
                              <a:r>
                                <a:rPr lang="en-US" sz="1100" dirty="0"/>
                                <a:t>/ L-Pro/ D-</a:t>
                              </a:r>
                              <a:r>
                                <a:rPr lang="en-US" sz="1100" dirty="0" err="1"/>
                                <a:t>Asn</a:t>
                              </a:r>
                              <a:r>
                                <a:rPr lang="en-US" sz="1100" dirty="0"/>
                                <a:t>/ L-Ser</a:t>
                              </a:r>
                              <a:endParaRPr lang="fr-FR" sz="1100" dirty="0"/>
                            </a:p>
                            <a:p>
                              <a:r>
                                <a:rPr lang="en-US" sz="1100" b="1" dirty="0"/>
                                <a:t>Iturine A</a:t>
                              </a:r>
                              <a:r>
                                <a:rPr lang="en-US" sz="1100" b="1" baseline="-25000" dirty="0"/>
                                <a:t>L</a:t>
                              </a:r>
                              <a:r>
                                <a:rPr lang="en-US" sz="1100" baseline="-25000" dirty="0"/>
                                <a:t>: </a:t>
                              </a:r>
                              <a:r>
                                <a:rPr lang="en-US" sz="1100" dirty="0"/>
                                <a:t>L-Ser/ L-</a:t>
                              </a:r>
                              <a:r>
                                <a:rPr lang="en-US" sz="1100" dirty="0" err="1"/>
                                <a:t>Asn</a:t>
                              </a:r>
                              <a:r>
                                <a:rPr lang="en-US" sz="1100" dirty="0"/>
                                <a:t>/ D-Tyr/ D-</a:t>
                              </a:r>
                              <a:r>
                                <a:rPr lang="en-US" sz="1100" dirty="0" err="1"/>
                                <a:t>Asn</a:t>
                              </a:r>
                              <a:r>
                                <a:rPr lang="en-US" sz="1100" dirty="0"/>
                                <a:t>/ L-</a:t>
                              </a:r>
                              <a:r>
                                <a:rPr lang="en-US" sz="1100" dirty="0" err="1"/>
                                <a:t>Gln</a:t>
                              </a:r>
                              <a:r>
                                <a:rPr lang="en-US" sz="1100" dirty="0"/>
                                <a:t>/ L-Pro/ D-</a:t>
                              </a:r>
                              <a:r>
                                <a:rPr lang="en-US" sz="1100" dirty="0" err="1"/>
                                <a:t>Asn</a:t>
                              </a:r>
                              <a:endParaRPr lang="fr-FR" sz="1100" dirty="0"/>
                            </a:p>
                            <a:p>
                              <a:r>
                                <a:rPr lang="en-US" sz="1100" b="1" dirty="0"/>
                                <a:t>Iturine C</a:t>
                              </a:r>
                              <a:r>
                                <a:rPr lang="en-US" sz="1100" dirty="0"/>
                                <a:t>: L-Ser/ L-</a:t>
                              </a:r>
                              <a:r>
                                <a:rPr lang="en-US" sz="1100" dirty="0" err="1"/>
                                <a:t>Asn</a:t>
                              </a:r>
                              <a:r>
                                <a:rPr lang="en-US" sz="1100" dirty="0"/>
                                <a:t>/ D-Tyr/ D-</a:t>
                              </a:r>
                              <a:r>
                                <a:rPr lang="en-US" sz="1100" dirty="0" err="1"/>
                                <a:t>Asn</a:t>
                              </a:r>
                              <a:r>
                                <a:rPr lang="en-US" sz="1100" dirty="0"/>
                                <a:t>/ L-</a:t>
                              </a:r>
                              <a:r>
                                <a:rPr lang="en-US" sz="1100" dirty="0" err="1"/>
                                <a:t>Gln</a:t>
                              </a:r>
                              <a:r>
                                <a:rPr lang="en-US" sz="1100" dirty="0"/>
                                <a:t>/ L-Pro/ D-</a:t>
                              </a:r>
                              <a:r>
                                <a:rPr lang="en-US" sz="1100" dirty="0" err="1"/>
                                <a:t>Asn</a:t>
                              </a:r>
                              <a:endParaRPr lang="fr-FR" sz="1100" dirty="0"/>
                            </a:p>
                            <a:p>
                              <a:endParaRPr lang="fr-FR" dirty="0"/>
                            </a:p>
                          </a:txBody>
                          <a:useSpRect/>
                        </a:txSp>
                      </a:sp>
                      <a:sp>
                        <a:nvSpPr>
                          <a:cNvPr id="6" name="ZoneTexte 5"/>
                          <a:cNvSpPr txBox="1"/>
                        </a:nvSpPr>
                        <a:spPr>
                          <a:xfrm>
                            <a:off x="683568" y="2276872"/>
                            <a:ext cx="4104456" cy="115416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BE" sz="1100" b="1" dirty="0" smtClean="0"/>
                                <a:t>(a)</a:t>
                              </a:r>
                              <a:r>
                                <a:rPr lang="fr-BE" b="1" dirty="0" smtClean="0"/>
                                <a:t> </a:t>
                              </a:r>
                              <a:r>
                                <a:rPr lang="fr-BE" sz="1100" dirty="0" smtClean="0"/>
                                <a:t>Structure </a:t>
                              </a:r>
                              <a:r>
                                <a:rPr lang="fr-BE" sz="1100" dirty="0"/>
                                <a:t>générale des iturines.  </a:t>
                              </a:r>
                              <a:r>
                                <a:rPr lang="fr-BE" sz="1100" i="1" dirty="0"/>
                                <a:t>n</a:t>
                              </a:r>
                              <a:r>
                                <a:rPr lang="fr-BE" sz="1100" dirty="0"/>
                                <a:t>, normal (</a:t>
                              </a:r>
                              <a:r>
                                <a:rPr lang="fr-BE" sz="1100" dirty="0" err="1"/>
                                <a:t>R</a:t>
                              </a:r>
                              <a:r>
                                <a:rPr lang="fr-BE" sz="1100" baseline="30000" dirty="0" err="1"/>
                                <a:t>y</a:t>
                              </a:r>
                              <a:r>
                                <a:rPr lang="fr-BE" sz="1100" baseline="30000" dirty="0"/>
                                <a:t>-1’ </a:t>
                              </a:r>
                              <a:r>
                                <a:rPr lang="fr-BE" sz="1100" dirty="0"/>
                                <a:t>= H; R’</a:t>
                              </a:r>
                              <a:r>
                                <a:rPr lang="fr-BE" sz="1100" baseline="30000" dirty="0"/>
                                <a:t>y-2’ </a:t>
                              </a:r>
                              <a:r>
                                <a:rPr lang="fr-BE" sz="1100" dirty="0"/>
                                <a:t>= H); </a:t>
                              </a:r>
                              <a:r>
                                <a:rPr lang="fr-BE" sz="1100" i="1" dirty="0"/>
                                <a:t>i</a:t>
                              </a:r>
                              <a:r>
                                <a:rPr lang="fr-BE" sz="1100" dirty="0"/>
                                <a:t>, iso (</a:t>
                              </a:r>
                              <a:r>
                                <a:rPr lang="fr-BE" sz="1100" dirty="0" err="1"/>
                                <a:t>R</a:t>
                              </a:r>
                              <a:r>
                                <a:rPr lang="fr-BE" sz="1100" baseline="30000" dirty="0" err="1"/>
                                <a:t>y</a:t>
                              </a:r>
                              <a:r>
                                <a:rPr lang="fr-BE" sz="1100" baseline="30000" dirty="0"/>
                                <a:t>-1’ </a:t>
                              </a:r>
                              <a:r>
                                <a:rPr lang="fr-BE" sz="1100" dirty="0"/>
                                <a:t>= CH</a:t>
                              </a:r>
                              <a:r>
                                <a:rPr lang="fr-BE" sz="1100" baseline="-25000" dirty="0"/>
                                <a:t>3</a:t>
                              </a:r>
                              <a:r>
                                <a:rPr lang="fr-BE" sz="1100" dirty="0"/>
                                <a:t>; R’</a:t>
                              </a:r>
                              <a:r>
                                <a:rPr lang="fr-BE" sz="1100" baseline="30000" dirty="0"/>
                                <a:t>y-2’ </a:t>
                              </a:r>
                              <a:r>
                                <a:rPr lang="fr-BE" sz="1100" dirty="0"/>
                                <a:t>= H); </a:t>
                              </a:r>
                              <a:r>
                                <a:rPr lang="fr-BE" sz="1100" i="1" dirty="0"/>
                                <a:t>a</a:t>
                              </a:r>
                              <a:r>
                                <a:rPr lang="fr-BE" sz="1100" dirty="0"/>
                                <a:t>, </a:t>
                              </a:r>
                              <a:r>
                                <a:rPr lang="fr-BE" sz="1100" dirty="0" err="1"/>
                                <a:t>antéiso</a:t>
                              </a:r>
                              <a:r>
                                <a:rPr lang="fr-BE" sz="1100" dirty="0"/>
                                <a:t> (</a:t>
                              </a:r>
                              <a:r>
                                <a:rPr lang="fr-BE" sz="1100" dirty="0" err="1"/>
                                <a:t>R</a:t>
                              </a:r>
                              <a:r>
                                <a:rPr lang="fr-BE" sz="1100" baseline="30000" dirty="0" err="1"/>
                                <a:t>y</a:t>
                              </a:r>
                              <a:r>
                                <a:rPr lang="fr-BE" sz="1100" baseline="30000" dirty="0"/>
                                <a:t>-1’ </a:t>
                              </a:r>
                              <a:r>
                                <a:rPr lang="fr-BE" sz="1100" dirty="0"/>
                                <a:t>= H; R’</a:t>
                              </a:r>
                              <a:r>
                                <a:rPr lang="fr-BE" sz="1100" baseline="30000" dirty="0"/>
                                <a:t>y-2’ </a:t>
                              </a:r>
                              <a:r>
                                <a:rPr lang="fr-BE" sz="1100" dirty="0"/>
                                <a:t>= CH</a:t>
                              </a:r>
                              <a:r>
                                <a:rPr lang="fr-BE" sz="1100" baseline="-25000" dirty="0"/>
                                <a:t>3</a:t>
                              </a:r>
                              <a:r>
                                <a:rPr lang="fr-BE" sz="1100" dirty="0"/>
                                <a:t>); x=8 et y=14 pour </a:t>
                              </a:r>
                              <a:r>
                                <a:rPr lang="fr-BE" sz="1100" i="1" dirty="0"/>
                                <a:t>n</a:t>
                              </a:r>
                              <a:r>
                                <a:rPr lang="fr-BE" sz="1100" dirty="0"/>
                                <a:t>C14, </a:t>
                              </a:r>
                              <a:r>
                                <a:rPr lang="fr-BE" sz="1100" i="1" dirty="0"/>
                                <a:t>i</a:t>
                              </a:r>
                              <a:r>
                                <a:rPr lang="fr-BE" sz="1100" dirty="0"/>
                                <a:t>C15, </a:t>
                              </a:r>
                              <a:r>
                                <a:rPr lang="fr-BE" sz="1100" i="1" dirty="0"/>
                                <a:t>a</a:t>
                              </a:r>
                              <a:r>
                                <a:rPr lang="fr-BE" sz="1100" dirty="0"/>
                                <a:t>C15; x=9 et y=15 pour </a:t>
                              </a:r>
                              <a:r>
                                <a:rPr lang="fr-BE" sz="1100" i="1" dirty="0"/>
                                <a:t>n</a:t>
                              </a:r>
                              <a:r>
                                <a:rPr lang="fr-BE" sz="1100" dirty="0"/>
                                <a:t>C15, </a:t>
                              </a:r>
                              <a:r>
                                <a:rPr lang="fr-BE" sz="1100" i="1" dirty="0"/>
                                <a:t>i</a:t>
                              </a:r>
                              <a:r>
                                <a:rPr lang="fr-BE" sz="1100" dirty="0"/>
                                <a:t>C16, </a:t>
                              </a:r>
                              <a:r>
                                <a:rPr lang="fr-BE" sz="1100" i="1" dirty="0"/>
                                <a:t>a</a:t>
                              </a:r>
                              <a:r>
                                <a:rPr lang="fr-BE" sz="1100" dirty="0"/>
                                <a:t>C16; x=10 et y=16 pour </a:t>
                              </a:r>
                              <a:r>
                                <a:rPr lang="fr-BE" sz="1100" i="1" dirty="0"/>
                                <a:t>n</a:t>
                              </a:r>
                              <a:r>
                                <a:rPr lang="fr-BE" sz="1100" dirty="0"/>
                                <a:t>C16, </a:t>
                              </a:r>
                              <a:r>
                                <a:rPr lang="fr-BE" sz="1100" i="1" dirty="0"/>
                                <a:t>i</a:t>
                              </a:r>
                              <a:r>
                                <a:rPr lang="fr-BE" sz="1100" dirty="0"/>
                                <a:t>C17, </a:t>
                              </a:r>
                              <a:r>
                                <a:rPr lang="fr-BE" sz="1100" i="1" dirty="0"/>
                                <a:t>a</a:t>
                              </a:r>
                              <a:r>
                                <a:rPr lang="fr-BE" sz="1100" dirty="0"/>
                                <a:t>C17.</a:t>
                              </a:r>
                              <a:endParaRPr lang="fr-FR" sz="1100" dirty="0"/>
                            </a:p>
                            <a:p>
                              <a:endParaRPr lang="fr-FR" dirty="0"/>
                            </a:p>
                          </a:txBody>
                          <a:useSpRect/>
                        </a:txSp>
                      </a:sp>
                    </a:grpSp>
                    <a:sp>
                      <a:nvSpPr>
                        <a:cNvPr id="8" name="ZoneTexte 7"/>
                        <a:cNvSpPr txBox="1"/>
                      </a:nvSpPr>
                      <a:spPr>
                        <a:xfrm>
                          <a:off x="755576" y="836712"/>
                          <a:ext cx="216024" cy="2616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100" b="1" dirty="0" smtClean="0"/>
                              <a:t>a</a:t>
                            </a:r>
                            <a:endParaRPr lang="fr-FR" b="1" dirty="0"/>
                          </a:p>
                        </a:txBody>
                        <a:useSpRect/>
                      </a:txSp>
                    </a:sp>
                  </a:grpSp>
                </lc:lockedCanvas>
              </a:graphicData>
            </a:graphic>
          </wp:inline>
        </w:drawing>
      </w:r>
    </w:p>
    <w:p w:rsidR="00534C26" w:rsidRPr="00E30870" w:rsidRDefault="00534C26" w:rsidP="00534C26">
      <w:pPr>
        <w:rPr>
          <w:rFonts w:asciiTheme="majorBidi" w:hAnsiTheme="majorBidi" w:cstheme="majorBidi"/>
          <w:color w:val="000000" w:themeColor="text1"/>
        </w:rPr>
      </w:pPr>
      <w:r w:rsidRPr="00E30870">
        <w:rPr>
          <w:rFonts w:asciiTheme="majorBidi" w:hAnsiTheme="majorBidi" w:cstheme="majorBidi"/>
          <w:noProof/>
          <w:color w:val="000000" w:themeColor="text1"/>
          <w:lang w:eastAsia="fr-FR"/>
        </w:rPr>
        <w:drawing>
          <wp:inline distT="0" distB="0" distL="0" distR="0">
            <wp:extent cx="5808171" cy="1729048"/>
            <wp:effectExtent l="19050" t="0" r="0" b="0"/>
            <wp:docPr id="35"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8912" cy="2031325"/>
                      <a:chOff x="467544" y="2590599"/>
                      <a:chExt cx="8208912" cy="2031325"/>
                    </a:xfrm>
                  </a:grpSpPr>
                  <a:grpSp>
                    <a:nvGrpSpPr>
                      <a:cNvPr id="4" name="Groupe 3"/>
                      <a:cNvGrpSpPr/>
                    </a:nvGrpSpPr>
                    <a:grpSpPr>
                      <a:xfrm>
                        <a:off x="467544" y="2590599"/>
                        <a:ext cx="8208912" cy="2031325"/>
                        <a:chOff x="323528" y="836712"/>
                        <a:chExt cx="8208912" cy="2031325"/>
                      </a:xfrm>
                    </a:grpSpPr>
                    <a:pic>
                      <a:nvPicPr>
                        <a:cNvPr id="5" name="Picture 2"/>
                        <a:cNvPicPr>
                          <a:picLocks noChangeAspect="1" noChangeArrowheads="1"/>
                        </a:cNvPicPr>
                      </a:nvPicPr>
                      <a:blipFill>
                        <a:blip r:embed="rId44"/>
                        <a:srcRect l="25465" t="44960" r="29500" b="31100"/>
                        <a:stretch>
                          <a:fillRect/>
                        </a:stretch>
                      </a:blipFill>
                      <a:spPr bwMode="auto">
                        <a:xfrm>
                          <a:off x="323528" y="836712"/>
                          <a:ext cx="4392488" cy="1368152"/>
                        </a:xfrm>
                        <a:prstGeom prst="rect">
                          <a:avLst/>
                        </a:prstGeom>
                        <a:noFill/>
                        <a:ln w="9525">
                          <a:noFill/>
                          <a:miter lim="800000"/>
                          <a:headEnd/>
                          <a:tailEnd/>
                        </a:ln>
                      </a:spPr>
                    </a:pic>
                    <a:sp>
                      <a:nvSpPr>
                        <a:cNvPr id="6" name="ZoneTexte 4"/>
                        <a:cNvSpPr txBox="1"/>
                      </a:nvSpPr>
                      <a:spPr>
                        <a:xfrm>
                          <a:off x="4716016" y="836712"/>
                          <a:ext cx="3816424" cy="203132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a:t>Fengycine A:</a:t>
                            </a:r>
                            <a:r>
                              <a:rPr lang="en-US" sz="1200" dirty="0"/>
                              <a:t> L-</a:t>
                            </a:r>
                            <a:r>
                              <a:rPr lang="en-US" sz="1200" dirty="0" err="1"/>
                              <a:t>Glu</a:t>
                            </a:r>
                            <a:r>
                              <a:rPr lang="en-US" sz="1200" dirty="0"/>
                              <a:t>/ D-</a:t>
                            </a:r>
                            <a:r>
                              <a:rPr lang="en-US" sz="1200" dirty="0" err="1"/>
                              <a:t>Orn</a:t>
                            </a:r>
                            <a:r>
                              <a:rPr lang="en-US" sz="1200" dirty="0"/>
                              <a:t>/ D-Tyr/ D-</a:t>
                            </a:r>
                            <a:r>
                              <a:rPr lang="en-US" sz="1200" dirty="0" err="1"/>
                              <a:t>aThr</a:t>
                            </a:r>
                            <a:r>
                              <a:rPr lang="en-US" sz="1200" dirty="0"/>
                              <a:t>/ L-</a:t>
                            </a:r>
                            <a:r>
                              <a:rPr lang="en-US" sz="1200" dirty="0" err="1"/>
                              <a:t>Glu</a:t>
                            </a:r>
                            <a:r>
                              <a:rPr lang="en-US" sz="1200" dirty="0"/>
                              <a:t>/ D-Ala/ L-Pro/ L-</a:t>
                            </a:r>
                            <a:r>
                              <a:rPr lang="en-US" sz="1200" dirty="0" err="1"/>
                              <a:t>Gln</a:t>
                            </a:r>
                            <a:r>
                              <a:rPr lang="en-US" sz="1200" dirty="0"/>
                              <a:t>/ L-Tyr/ L-Ile</a:t>
                            </a:r>
                            <a:endParaRPr lang="fr-FR" sz="1200" dirty="0"/>
                          </a:p>
                          <a:p>
                            <a:r>
                              <a:rPr lang="en-US" sz="1200" b="1" dirty="0"/>
                              <a:t>Fengycine B:</a:t>
                            </a:r>
                            <a:r>
                              <a:rPr lang="en-US" sz="1200" dirty="0"/>
                              <a:t> L-</a:t>
                            </a:r>
                            <a:r>
                              <a:rPr lang="en-US" sz="1200" dirty="0" err="1"/>
                              <a:t>Glu</a:t>
                            </a:r>
                            <a:r>
                              <a:rPr lang="en-US" sz="1200" dirty="0"/>
                              <a:t>/ D-</a:t>
                            </a:r>
                            <a:r>
                              <a:rPr lang="en-US" sz="1200" dirty="0" err="1"/>
                              <a:t>Orn</a:t>
                            </a:r>
                            <a:r>
                              <a:rPr lang="en-US" sz="1200" dirty="0"/>
                              <a:t>/ D-Tyr/ D-</a:t>
                            </a:r>
                            <a:r>
                              <a:rPr lang="en-US" sz="1200" dirty="0" err="1"/>
                              <a:t>aThr</a:t>
                            </a:r>
                            <a:r>
                              <a:rPr lang="en-US" sz="1200" dirty="0"/>
                              <a:t>/ L-</a:t>
                            </a:r>
                            <a:r>
                              <a:rPr lang="en-US" sz="1200" dirty="0" err="1"/>
                              <a:t>Glu</a:t>
                            </a:r>
                            <a:r>
                              <a:rPr lang="en-US" sz="1200" dirty="0"/>
                              <a:t>/ D-Val/ L-Pro/ L-</a:t>
                            </a:r>
                            <a:r>
                              <a:rPr lang="en-US" sz="1200" dirty="0" err="1"/>
                              <a:t>Gln</a:t>
                            </a:r>
                            <a:r>
                              <a:rPr lang="en-US" sz="1200" dirty="0"/>
                              <a:t>/ L-Tyr/ L-Ile</a:t>
                            </a:r>
                            <a:endParaRPr lang="fr-FR" sz="1200" dirty="0"/>
                          </a:p>
                          <a:p>
                            <a:r>
                              <a:rPr lang="en-US" sz="1200" b="1" dirty="0" err="1"/>
                              <a:t>Plipastatine</a:t>
                            </a:r>
                            <a:r>
                              <a:rPr lang="en-US" sz="1200" b="1" dirty="0"/>
                              <a:t> A</a:t>
                            </a:r>
                            <a:r>
                              <a:rPr lang="en-US" sz="1200" dirty="0"/>
                              <a:t>: L-</a:t>
                            </a:r>
                            <a:r>
                              <a:rPr lang="en-US" sz="1200" dirty="0" err="1"/>
                              <a:t>Glu</a:t>
                            </a:r>
                            <a:r>
                              <a:rPr lang="en-US" sz="1200" dirty="0"/>
                              <a:t>/ D-</a:t>
                            </a:r>
                            <a:r>
                              <a:rPr lang="en-US" sz="1200" dirty="0" err="1"/>
                              <a:t>Orn</a:t>
                            </a:r>
                            <a:r>
                              <a:rPr lang="en-US" sz="1200" dirty="0"/>
                              <a:t>/ L-Tyr/ D-</a:t>
                            </a:r>
                            <a:r>
                              <a:rPr lang="en-US" sz="1200" dirty="0" err="1"/>
                              <a:t>aThr</a:t>
                            </a:r>
                            <a:r>
                              <a:rPr lang="en-US" sz="1200" dirty="0"/>
                              <a:t>/ L-</a:t>
                            </a:r>
                            <a:r>
                              <a:rPr lang="en-US" sz="1200" dirty="0" err="1"/>
                              <a:t>Glu</a:t>
                            </a:r>
                            <a:r>
                              <a:rPr lang="en-US" sz="1200" dirty="0"/>
                              <a:t>/ D-Ala/ L-Pro/ L-</a:t>
                            </a:r>
                            <a:r>
                              <a:rPr lang="en-US" sz="1200" dirty="0" err="1"/>
                              <a:t>Gln</a:t>
                            </a:r>
                            <a:r>
                              <a:rPr lang="en-US" sz="1200" dirty="0"/>
                              <a:t>/ L-Tyr/ L-Ile</a:t>
                            </a:r>
                            <a:endParaRPr lang="fr-FR" sz="1200" dirty="0"/>
                          </a:p>
                          <a:p>
                            <a:r>
                              <a:rPr lang="en-US" sz="1200" b="1" dirty="0" err="1"/>
                              <a:t>Plipastatine</a:t>
                            </a:r>
                            <a:r>
                              <a:rPr lang="en-US" sz="1200" b="1" dirty="0"/>
                              <a:t> B</a:t>
                            </a:r>
                            <a:r>
                              <a:rPr lang="en-US" sz="1200" dirty="0"/>
                              <a:t>: L-</a:t>
                            </a:r>
                            <a:r>
                              <a:rPr lang="en-US" sz="1200" dirty="0" err="1"/>
                              <a:t>Glu</a:t>
                            </a:r>
                            <a:r>
                              <a:rPr lang="en-US" sz="1200" dirty="0"/>
                              <a:t>/ L-Tyr/ D-</a:t>
                            </a:r>
                            <a:r>
                              <a:rPr lang="en-US" sz="1200" dirty="0" err="1"/>
                              <a:t>aThr</a:t>
                            </a:r>
                            <a:r>
                              <a:rPr lang="en-US" sz="1200" dirty="0"/>
                              <a:t>/ L-</a:t>
                            </a:r>
                            <a:r>
                              <a:rPr lang="en-US" sz="1200" dirty="0" err="1"/>
                              <a:t>Glu</a:t>
                            </a:r>
                            <a:r>
                              <a:rPr lang="en-US" sz="1200" dirty="0"/>
                              <a:t>/ D-Val/ L-Pro/ L-</a:t>
                            </a:r>
                            <a:r>
                              <a:rPr lang="en-US" sz="1200" dirty="0" err="1"/>
                              <a:t>Gln</a:t>
                            </a:r>
                            <a:r>
                              <a:rPr lang="en-US" sz="1200" dirty="0"/>
                              <a:t>/ L-Tyr/L-Ile/ D-</a:t>
                            </a:r>
                            <a:r>
                              <a:rPr lang="en-US" sz="1200" dirty="0" err="1"/>
                              <a:t>Orn</a:t>
                            </a:r>
                            <a:endParaRPr lang="fr-FR" sz="1200" dirty="0"/>
                          </a:p>
                          <a:p>
                            <a:r>
                              <a:rPr lang="en-US" sz="1200" dirty="0"/>
                              <a:t> </a:t>
                            </a:r>
                            <a:endParaRPr lang="fr-FR" sz="1200" dirty="0"/>
                          </a:p>
                          <a:p>
                            <a:endParaRPr lang="fr-FR" dirty="0"/>
                          </a:p>
                        </a:txBody>
                        <a:useSpRect/>
                      </a:txSp>
                    </a:sp>
                    <a:sp>
                      <a:nvSpPr>
                        <a:cNvPr id="7" name="ZoneTexte 5"/>
                        <a:cNvSpPr txBox="1"/>
                      </a:nvSpPr>
                      <a:spPr>
                        <a:xfrm>
                          <a:off x="755576" y="1315073"/>
                          <a:ext cx="432048" cy="2616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100" b="1" dirty="0" smtClean="0"/>
                              <a:t>b</a:t>
                            </a:r>
                            <a:endParaRPr lang="fr-FR" b="1" dirty="0"/>
                          </a:p>
                        </a:txBody>
                        <a:useSpRect/>
                      </a:txSp>
                    </a:sp>
                  </a:grpSp>
                </lc:lockedCanvas>
              </a:graphicData>
            </a:graphic>
          </wp:inline>
        </w:drawing>
      </w:r>
    </w:p>
    <w:p w:rsidR="00534C26" w:rsidRPr="00E30870" w:rsidRDefault="00534C26" w:rsidP="00534C26">
      <w:pPr>
        <w:rPr>
          <w:rFonts w:asciiTheme="majorBidi" w:hAnsiTheme="majorBidi" w:cstheme="majorBidi"/>
          <w:color w:val="000000" w:themeColor="text1"/>
        </w:rPr>
      </w:pPr>
      <w:r w:rsidRPr="00E30870">
        <w:rPr>
          <w:rFonts w:asciiTheme="majorBidi" w:hAnsiTheme="majorBidi" w:cstheme="majorBidi"/>
          <w:noProof/>
          <w:color w:val="000000" w:themeColor="text1"/>
          <w:lang w:eastAsia="fr-FR"/>
        </w:rPr>
        <w:drawing>
          <wp:inline distT="0" distB="0" distL="0" distR="0">
            <wp:extent cx="5900270" cy="2052918"/>
            <wp:effectExtent l="19050" t="0" r="5230" b="0"/>
            <wp:docPr id="36"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88832" cy="2376264"/>
                      <a:chOff x="467544" y="548680"/>
                      <a:chExt cx="7488832" cy="2376264"/>
                    </a:xfrm>
                  </a:grpSpPr>
                  <a:grpSp>
                    <a:nvGrpSpPr>
                      <a:cNvPr id="10" name="Groupe 9"/>
                      <a:cNvGrpSpPr/>
                    </a:nvGrpSpPr>
                    <a:grpSpPr>
                      <a:xfrm>
                        <a:off x="467544" y="548680"/>
                        <a:ext cx="7488832" cy="2376264"/>
                        <a:chOff x="467544" y="548680"/>
                        <a:chExt cx="7488832" cy="2376264"/>
                      </a:xfrm>
                    </a:grpSpPr>
                    <a:pic>
                      <a:nvPicPr>
                        <a:cNvPr id="2050" name="Picture 2"/>
                        <a:cNvPicPr>
                          <a:picLocks noChangeAspect="1" noChangeArrowheads="1"/>
                        </a:cNvPicPr>
                      </a:nvPicPr>
                      <a:blipFill>
                        <a:blip r:embed="rId45"/>
                        <a:srcRect l="30633" t="29840" r="36883" b="39920"/>
                        <a:stretch>
                          <a:fillRect/>
                        </a:stretch>
                      </a:blipFill>
                      <a:spPr bwMode="auto">
                        <a:xfrm>
                          <a:off x="467544" y="548680"/>
                          <a:ext cx="3168352" cy="1728192"/>
                        </a:xfrm>
                        <a:prstGeom prst="rect">
                          <a:avLst/>
                        </a:prstGeom>
                        <a:noFill/>
                        <a:ln w="9525">
                          <a:noFill/>
                          <a:miter lim="800000"/>
                          <a:headEnd/>
                          <a:tailEnd/>
                        </a:ln>
                      </a:spPr>
                    </a:pic>
                    <a:sp>
                      <a:nvSpPr>
                        <a:cNvPr id="7" name="ZoneTexte 6"/>
                        <a:cNvSpPr txBox="1"/>
                      </a:nvSpPr>
                      <a:spPr>
                        <a:xfrm>
                          <a:off x="683568" y="692696"/>
                          <a:ext cx="648072" cy="2616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100" b="1" dirty="0"/>
                              <a:t> </a:t>
                            </a:r>
                            <a:r>
                              <a:rPr lang="fr-FR" sz="1100" b="1" dirty="0" smtClean="0"/>
                              <a:t>c</a:t>
                            </a:r>
                            <a:endParaRPr lang="fr-FR" b="1" dirty="0"/>
                          </a:p>
                        </a:txBody>
                        <a:useSpRect/>
                      </a:txSp>
                    </a:sp>
                    <a:sp>
                      <a:nvSpPr>
                        <a:cNvPr id="2052" name="Text Box 4"/>
                        <a:cNvSpPr txBox="1">
                          <a:spLocks noChangeArrowheads="1"/>
                        </a:cNvSpPr>
                      </a:nvSpPr>
                      <a:spPr bwMode="auto">
                        <a:xfrm>
                          <a:off x="3419872" y="548680"/>
                          <a:ext cx="4536504" cy="2376264"/>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ts val="1000"/>
                              </a:spcAft>
                              <a:buClrTx/>
                              <a:buSzTx/>
                              <a:buFontTx/>
                              <a:buNone/>
                              <a:tabLst/>
                            </a:pPr>
                            <a:r>
                              <a:rPr kumimoji="0" lang="fr-FR" sz="1050" b="1" i="0" u="none" strike="noStrike" cap="none" normalizeH="0" baseline="0" dirty="0" err="1" smtClean="0">
                                <a:ln>
                                  <a:noFill/>
                                </a:ln>
                                <a:solidFill>
                                  <a:schemeClr val="tx1"/>
                                </a:solidFill>
                                <a:effectLst/>
                                <a:latin typeface="Cambria" pitchFamily="18" charset="0"/>
                                <a:ea typeface="Arial" pitchFamily="34" charset="0"/>
                                <a:cs typeface="Arial" pitchFamily="34" charset="0"/>
                              </a:rPr>
                              <a:t>Esperine</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a:t>
                            </a:r>
                            <a:r>
                              <a:rPr kumimoji="0" lang="fr-FR" sz="1050" i="0" u="none" strike="noStrike" cap="none" normalizeH="0" baseline="30000" dirty="0" smtClean="0">
                                <a:ln>
                                  <a:noFill/>
                                </a:ln>
                                <a:solidFill>
                                  <a:schemeClr val="tx1"/>
                                </a:solidFill>
                                <a:effectLst/>
                                <a:latin typeface="Cambria" pitchFamily="18" charset="0"/>
                                <a:ea typeface="Arial" pitchFamily="34" charset="0"/>
                                <a:cs typeface="Arial" pitchFamily="34" charset="0"/>
                              </a:rPr>
                              <a:t>**</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L-Glu/ L-Leu/ D-Leu /L-Val /L-</a:t>
                            </a:r>
                            <a:r>
                              <a:rPr kumimoji="0" lang="fr-FR" sz="1050" i="0" u="none" strike="noStrike" cap="none" normalizeH="0" baseline="0" dirty="0" err="1" smtClean="0">
                                <a:ln>
                                  <a:noFill/>
                                </a:ln>
                                <a:solidFill>
                                  <a:schemeClr val="tx1"/>
                                </a:solidFill>
                                <a:effectLst/>
                                <a:latin typeface="Cambria" pitchFamily="18" charset="0"/>
                                <a:ea typeface="Arial" pitchFamily="34" charset="0"/>
                                <a:cs typeface="Arial" pitchFamily="34" charset="0"/>
                              </a:rPr>
                              <a:t>Asp</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/D-Leu/ L-Leu</a:t>
                            </a:r>
                          </a:p>
                          <a:p>
                            <a:pPr marL="0" marR="0" lvl="0" indent="0" algn="just" defTabSz="914400" rtl="0" eaLnBrk="1" fontAlgn="base" latinLnBrk="0" hangingPunct="1">
                              <a:lnSpc>
                                <a:spcPct val="100000"/>
                              </a:lnSpc>
                              <a:spcBef>
                                <a:spcPct val="0"/>
                              </a:spcBef>
                              <a:spcAft>
                                <a:spcPts val="1000"/>
                              </a:spcAft>
                              <a:buClrTx/>
                              <a:buSzTx/>
                              <a:buFontTx/>
                              <a:buNone/>
                              <a:tabLst/>
                            </a:pPr>
                            <a:r>
                              <a:rPr kumimoji="0" lang="fr-FR" sz="1050" b="1" i="0" u="none" strike="noStrike" cap="none" normalizeH="0" baseline="0" dirty="0" err="1" smtClean="0">
                                <a:ln>
                                  <a:noFill/>
                                </a:ln>
                                <a:solidFill>
                                  <a:schemeClr val="tx1"/>
                                </a:solidFill>
                                <a:effectLst/>
                                <a:latin typeface="Cambria" pitchFamily="18" charset="0"/>
                                <a:ea typeface="Arial" pitchFamily="34" charset="0"/>
                                <a:cs typeface="Arial" pitchFamily="34" charset="0"/>
                              </a:rPr>
                              <a:t>Lichenysine</a:t>
                            </a:r>
                            <a:r>
                              <a:rPr kumimoji="0" lang="fr-FR" sz="1050" i="0" u="none" strike="noStrike" cap="none" normalizeH="0" baseline="30000" dirty="0" smtClean="0">
                                <a:ln>
                                  <a:noFill/>
                                </a:ln>
                                <a:solidFill>
                                  <a:schemeClr val="tx1"/>
                                </a:solidFill>
                                <a:effectLst/>
                                <a:latin typeface="Cambria" pitchFamily="18" charset="0"/>
                                <a:ea typeface="Arial" pitchFamily="34" charset="0"/>
                                <a:cs typeface="Arial" pitchFamily="34" charset="0"/>
                              </a:rPr>
                              <a:t>*** </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L-XL1/ L-XL2 /D-Leu /L-XL4/ L-</a:t>
                            </a:r>
                            <a:r>
                              <a:rPr kumimoji="0" lang="fr-FR" sz="1050" i="0" u="none" strike="noStrike" cap="none" normalizeH="0" baseline="0" dirty="0" err="1" smtClean="0">
                                <a:ln>
                                  <a:noFill/>
                                </a:ln>
                                <a:solidFill>
                                  <a:schemeClr val="tx1"/>
                                </a:solidFill>
                                <a:effectLst/>
                                <a:latin typeface="Cambria" pitchFamily="18" charset="0"/>
                                <a:ea typeface="Arial" pitchFamily="34" charset="0"/>
                                <a:cs typeface="Arial" pitchFamily="34" charset="0"/>
                              </a:rPr>
                              <a:t>Asp</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/D-Leu /L-XP7</a:t>
                            </a:r>
                          </a:p>
                          <a:p>
                            <a:pPr marL="0" marR="0" lvl="0" indent="0" algn="just" defTabSz="914400" rtl="0" eaLnBrk="1" fontAlgn="base" latinLnBrk="0" hangingPunct="1">
                              <a:lnSpc>
                                <a:spcPct val="100000"/>
                              </a:lnSpc>
                              <a:spcBef>
                                <a:spcPct val="0"/>
                              </a:spcBef>
                              <a:spcAft>
                                <a:spcPts val="1000"/>
                              </a:spcAft>
                              <a:buClrTx/>
                              <a:buSzTx/>
                              <a:buFontTx/>
                              <a:buNone/>
                              <a:tabLst/>
                            </a:pPr>
                            <a:r>
                              <a:rPr kumimoji="0" lang="fr-FR" sz="1050" b="1" i="0" u="none" strike="noStrike" cap="none" normalizeH="0" baseline="0" dirty="0" err="1" smtClean="0">
                                <a:ln>
                                  <a:noFill/>
                                </a:ln>
                                <a:solidFill>
                                  <a:schemeClr val="tx1"/>
                                </a:solidFill>
                                <a:effectLst/>
                                <a:latin typeface="Cambria" pitchFamily="18" charset="0"/>
                                <a:ea typeface="Arial" pitchFamily="34" charset="0"/>
                                <a:cs typeface="Arial" pitchFamily="34" charset="0"/>
                              </a:rPr>
                              <a:t>Pumilacidine</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 L-Glu/ L-Leu/ D-Leu/ L-Leu/ L-</a:t>
                            </a:r>
                            <a:r>
                              <a:rPr kumimoji="0" lang="fr-FR" sz="1050" i="0" u="none" strike="noStrike" cap="none" normalizeH="0" baseline="0" dirty="0" err="1" smtClean="0">
                                <a:ln>
                                  <a:noFill/>
                                </a:ln>
                                <a:solidFill>
                                  <a:schemeClr val="tx1"/>
                                </a:solidFill>
                                <a:effectLst/>
                                <a:latin typeface="Cambria" pitchFamily="18" charset="0"/>
                                <a:ea typeface="Arial" pitchFamily="34" charset="0"/>
                                <a:cs typeface="Arial" pitchFamily="34" charset="0"/>
                              </a:rPr>
                              <a:t>Asp</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D-Leu/ L-XP7</a:t>
                            </a:r>
                          </a:p>
                          <a:p>
                            <a:pPr marL="0" marR="0" lvl="0" indent="0" algn="just" defTabSz="914400" rtl="0" eaLnBrk="1" fontAlgn="base" latinLnBrk="0" hangingPunct="1">
                              <a:lnSpc>
                                <a:spcPct val="100000"/>
                              </a:lnSpc>
                              <a:spcBef>
                                <a:spcPct val="0"/>
                              </a:spcBef>
                              <a:spcAft>
                                <a:spcPts val="1000"/>
                              </a:spcAft>
                              <a:buClrTx/>
                              <a:buSzTx/>
                              <a:buFontTx/>
                              <a:buNone/>
                              <a:tabLst/>
                            </a:pPr>
                            <a:r>
                              <a:rPr kumimoji="0" lang="fr-FR" sz="1050" b="1" i="0" u="none" strike="noStrike" cap="none" normalizeH="0" baseline="0" dirty="0" err="1" smtClean="0">
                                <a:ln>
                                  <a:noFill/>
                                </a:ln>
                                <a:solidFill>
                                  <a:schemeClr val="tx1"/>
                                </a:solidFill>
                                <a:effectLst/>
                                <a:latin typeface="Cambria" pitchFamily="18" charset="0"/>
                                <a:ea typeface="Arial" pitchFamily="34" charset="0"/>
                                <a:cs typeface="Arial" pitchFamily="34" charset="0"/>
                              </a:rPr>
                              <a:t>Surfactine</a:t>
                            </a:r>
                            <a:r>
                              <a:rPr kumimoji="0" lang="fr-FR" sz="1050" b="1" i="0" u="none" strike="noStrike" cap="none" normalizeH="0" baseline="0" dirty="0" smtClean="0">
                                <a:ln>
                                  <a:noFill/>
                                </a:ln>
                                <a:solidFill>
                                  <a:schemeClr val="tx1"/>
                                </a:solidFill>
                                <a:effectLst/>
                                <a:latin typeface="Cambria" pitchFamily="18" charset="0"/>
                                <a:ea typeface="Arial" pitchFamily="34" charset="0"/>
                                <a:cs typeface="Arial" pitchFamily="34" charset="0"/>
                              </a:rPr>
                              <a:t> </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L-Glu/ L-XS2/ D-Leu /L-XS4/ L-</a:t>
                            </a:r>
                            <a:r>
                              <a:rPr kumimoji="0" lang="fr-FR" sz="1050" i="0" u="none" strike="noStrike" cap="none" normalizeH="0" baseline="0" dirty="0" err="1" smtClean="0">
                                <a:ln>
                                  <a:noFill/>
                                </a:ln>
                                <a:solidFill>
                                  <a:schemeClr val="tx1"/>
                                </a:solidFill>
                                <a:effectLst/>
                                <a:latin typeface="Cambria" pitchFamily="18" charset="0"/>
                                <a:ea typeface="Arial" pitchFamily="34" charset="0"/>
                                <a:cs typeface="Arial" pitchFamily="34" charset="0"/>
                              </a:rPr>
                              <a:t>Asp</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/D-Leu /L-XS7</a:t>
                            </a:r>
                          </a:p>
                          <a:p>
                            <a:pPr marL="0" marR="0" lvl="0" indent="0" algn="just" defTabSz="914400" rtl="0" eaLnBrk="1" fontAlgn="base" latinLnBrk="0" hangingPunct="1">
                              <a:lnSpc>
                                <a:spcPct val="100000"/>
                              </a:lnSpc>
                              <a:spcBef>
                                <a:spcPct val="0"/>
                              </a:spcBef>
                              <a:spcAft>
                                <a:spcPts val="1000"/>
                              </a:spcAft>
                              <a:buClrTx/>
                              <a:buSzTx/>
                              <a:buFontTx/>
                              <a:buNone/>
                              <a:tabLst/>
                            </a:pPr>
                            <a:r>
                              <a:rPr kumimoji="0" lang="fr-FR" sz="1050" i="0" u="none" strike="noStrike" cap="none" normalizeH="0" baseline="30000" dirty="0" smtClean="0">
                                <a:ln>
                                  <a:noFill/>
                                </a:ln>
                                <a:solidFill>
                                  <a:schemeClr val="tx1"/>
                                </a:solidFill>
                                <a:effectLst/>
                                <a:latin typeface="Cambria" pitchFamily="18" charset="0"/>
                                <a:ea typeface="Arial" pitchFamily="34" charset="0"/>
                                <a:cs typeface="Arial" pitchFamily="34" charset="0"/>
                              </a:rPr>
                              <a:t>**</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Le B-carboxyle d’Asp5 est engagé dans le cycle peptidique</a:t>
                            </a:r>
                          </a:p>
                          <a:p>
                            <a:pPr marL="0" marR="0" lvl="0" indent="0" algn="just" defTabSz="914400" rtl="0" eaLnBrk="1" fontAlgn="base" latinLnBrk="0" hangingPunct="1">
                              <a:lnSpc>
                                <a:spcPct val="100000"/>
                              </a:lnSpc>
                              <a:spcBef>
                                <a:spcPct val="0"/>
                              </a:spcBef>
                              <a:spcAft>
                                <a:spcPts val="1000"/>
                              </a:spcAft>
                              <a:buClrTx/>
                              <a:buSzTx/>
                              <a:buFontTx/>
                              <a:buNone/>
                              <a:tabLst/>
                            </a:pP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a:t>
                            </a:r>
                            <a:r>
                              <a:rPr kumimoji="0" lang="fr-FR" sz="1050" i="0" u="none" strike="noStrike" cap="none" normalizeH="0" baseline="30000" dirty="0" smtClean="0">
                                <a:ln>
                                  <a:noFill/>
                                </a:ln>
                                <a:solidFill>
                                  <a:schemeClr val="tx1"/>
                                </a:solidFill>
                                <a:effectLst/>
                                <a:latin typeface="Cambria" pitchFamily="18" charset="0"/>
                                <a:ea typeface="Arial" pitchFamily="34" charset="0"/>
                                <a:cs typeface="Arial" pitchFamily="34" charset="0"/>
                              </a:rPr>
                              <a:t>*** </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Ou </a:t>
                            </a:r>
                            <a:r>
                              <a:rPr kumimoji="0" lang="fr-FR" sz="1050" i="0" u="none" strike="noStrike" cap="none" normalizeH="0" baseline="0" dirty="0" err="1" smtClean="0">
                                <a:ln>
                                  <a:noFill/>
                                </a:ln>
                                <a:solidFill>
                                  <a:schemeClr val="tx1"/>
                                </a:solidFill>
                                <a:effectLst/>
                                <a:latin typeface="Cambria" pitchFamily="18" charset="0"/>
                                <a:ea typeface="Arial" pitchFamily="34" charset="0"/>
                                <a:cs typeface="Arial" pitchFamily="34" charset="0"/>
                              </a:rPr>
                              <a:t>halobacilline</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a:t>
                            </a:r>
                          </a:p>
                          <a:p>
                            <a:pPr marL="0" marR="0" lvl="0" indent="0" algn="just" defTabSz="914400" rtl="0" eaLnBrk="1" fontAlgn="base" latinLnBrk="0" hangingPunct="1">
                              <a:lnSpc>
                                <a:spcPct val="100000"/>
                              </a:lnSpc>
                              <a:spcBef>
                                <a:spcPct val="0"/>
                              </a:spcBef>
                              <a:spcAft>
                                <a:spcPts val="1000"/>
                              </a:spcAft>
                              <a:buClrTx/>
                              <a:buSzTx/>
                              <a:buFontTx/>
                              <a:buNone/>
                              <a:tabLst/>
                            </a:pP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XL1= </a:t>
                            </a:r>
                            <a:r>
                              <a:rPr kumimoji="0" lang="fr-FR" sz="1050" i="0" u="none" strike="noStrike" cap="none" normalizeH="0" baseline="0" dirty="0" err="1" smtClean="0">
                                <a:ln>
                                  <a:noFill/>
                                </a:ln>
                                <a:solidFill>
                                  <a:schemeClr val="tx1"/>
                                </a:solidFill>
                                <a:effectLst/>
                                <a:latin typeface="Cambria" pitchFamily="18" charset="0"/>
                                <a:ea typeface="Arial" pitchFamily="34" charset="0"/>
                                <a:cs typeface="Arial" pitchFamily="34" charset="0"/>
                              </a:rPr>
                              <a:t>Gln</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ou Glu ; XL2 : Leu ou Ile ; XL4 et XL7= Val ou Ile/ XP</a:t>
                            </a:r>
                            <a:r>
                              <a:rPr kumimoji="0" lang="fr-FR" sz="1050" i="0" u="none" strike="noStrike" cap="none" normalizeH="0" baseline="-25000" dirty="0" smtClean="0">
                                <a:ln>
                                  <a:noFill/>
                                </a:ln>
                                <a:solidFill>
                                  <a:schemeClr val="tx1"/>
                                </a:solidFill>
                                <a:effectLst/>
                                <a:latin typeface="Cambria" pitchFamily="18" charset="0"/>
                                <a:ea typeface="Arial" pitchFamily="34" charset="0"/>
                                <a:cs typeface="Arial" pitchFamily="34" charset="0"/>
                              </a:rPr>
                              <a:t>7</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=Val ou Ile/ </a:t>
                            </a:r>
                          </a:p>
                          <a:p>
                            <a:pPr marL="0" marR="0" lvl="0" indent="0" algn="just" defTabSz="914400" rtl="0" eaLnBrk="1" fontAlgn="base" latinLnBrk="0" hangingPunct="1">
                              <a:lnSpc>
                                <a:spcPct val="100000"/>
                              </a:lnSpc>
                              <a:spcBef>
                                <a:spcPct val="0"/>
                              </a:spcBef>
                              <a:spcAft>
                                <a:spcPts val="1000"/>
                              </a:spcAft>
                              <a:buClrTx/>
                              <a:buSzTx/>
                              <a:buFontTx/>
                              <a:buNone/>
                              <a:tabLst/>
                            </a:pP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XS</a:t>
                            </a:r>
                            <a:r>
                              <a:rPr kumimoji="0" lang="fr-FR" sz="1050" i="0" u="none" strike="noStrike" cap="none" normalizeH="0" baseline="-25000" dirty="0" smtClean="0">
                                <a:ln>
                                  <a:noFill/>
                                </a:ln>
                                <a:solidFill>
                                  <a:schemeClr val="tx1"/>
                                </a:solidFill>
                                <a:effectLst/>
                                <a:latin typeface="Cambria" pitchFamily="18" charset="0"/>
                                <a:ea typeface="Arial" pitchFamily="34" charset="0"/>
                                <a:cs typeface="Arial" pitchFamily="34" charset="0"/>
                              </a:rPr>
                              <a:t>2</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Val, Leu ou Ile ; XS</a:t>
                            </a:r>
                            <a:r>
                              <a:rPr kumimoji="0" lang="fr-FR" sz="1050" i="0" u="none" strike="noStrike" cap="none" normalizeH="0" baseline="-25000" dirty="0" smtClean="0">
                                <a:ln>
                                  <a:noFill/>
                                </a:ln>
                                <a:solidFill>
                                  <a:schemeClr val="tx1"/>
                                </a:solidFill>
                                <a:effectLst/>
                                <a:latin typeface="Cambria" pitchFamily="18" charset="0"/>
                                <a:ea typeface="Arial" pitchFamily="34" charset="0"/>
                                <a:cs typeface="Arial" pitchFamily="34" charset="0"/>
                              </a:rPr>
                              <a:t>4</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a:t>
                            </a:r>
                            <a:r>
                              <a:rPr kumimoji="0" lang="fr-FR" sz="1050" i="0" u="none" strike="noStrike" cap="none" normalizeH="0" baseline="0" dirty="0" err="1" smtClean="0">
                                <a:ln>
                                  <a:noFill/>
                                </a:ln>
                                <a:solidFill>
                                  <a:schemeClr val="tx1"/>
                                </a:solidFill>
                                <a:effectLst/>
                                <a:latin typeface="Cambria" pitchFamily="18" charset="0"/>
                                <a:ea typeface="Arial" pitchFamily="34" charset="0"/>
                                <a:cs typeface="Arial" pitchFamily="34" charset="0"/>
                              </a:rPr>
                              <a:t>Ala</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 Val, Leu ou Ile ; XS</a:t>
                            </a:r>
                            <a:r>
                              <a:rPr kumimoji="0" lang="fr-FR" sz="1050" i="0" u="none" strike="noStrike" cap="none" normalizeH="0" baseline="-25000" dirty="0" smtClean="0">
                                <a:ln>
                                  <a:noFill/>
                                </a:ln>
                                <a:solidFill>
                                  <a:schemeClr val="tx1"/>
                                </a:solidFill>
                                <a:effectLst/>
                                <a:latin typeface="Cambria" pitchFamily="18" charset="0"/>
                                <a:ea typeface="Arial" pitchFamily="34" charset="0"/>
                                <a:cs typeface="Arial" pitchFamily="34" charset="0"/>
                              </a:rPr>
                              <a:t>7</a:t>
                            </a:r>
                            <a:r>
                              <a:rPr kumimoji="0" lang="fr-FR" sz="1050" i="0" u="none" strike="noStrike" cap="none" normalizeH="0" baseline="0" dirty="0" smtClean="0">
                                <a:ln>
                                  <a:noFill/>
                                </a:ln>
                                <a:solidFill>
                                  <a:schemeClr val="tx1"/>
                                </a:solidFill>
                                <a:effectLst/>
                                <a:latin typeface="Cambria" pitchFamily="18" charset="0"/>
                                <a:ea typeface="Arial" pitchFamily="34" charset="0"/>
                                <a:cs typeface="Arial" pitchFamily="34" charset="0"/>
                              </a:rPr>
                              <a:t>=Val, Leu ou Ile. </a:t>
                            </a:r>
                          </a:p>
                          <a:p>
                            <a:pPr marL="0" marR="0" lvl="0" indent="0" algn="just" defTabSz="914400" rtl="0" eaLnBrk="1" fontAlgn="base" latinLnBrk="0" hangingPunct="1">
                              <a:lnSpc>
                                <a:spcPct val="100000"/>
                              </a:lnSpc>
                              <a:spcBef>
                                <a:spcPct val="0"/>
                              </a:spcBef>
                              <a:spcAft>
                                <a:spcPts val="1000"/>
                              </a:spcAft>
                              <a:buClrTx/>
                              <a:buSzTx/>
                              <a:buFontTx/>
                              <a:buNone/>
                              <a:tabLst/>
                            </a:pPr>
                            <a:endParaRPr kumimoji="0" lang="fr-FR" sz="1000" b="0" i="0" u="none" strike="noStrike" cap="none" normalizeH="0" baseline="30000" dirty="0" smtClean="0">
                              <a:ln>
                                <a:noFill/>
                              </a:ln>
                              <a:solidFill>
                                <a:schemeClr val="tx1"/>
                              </a:solidFill>
                              <a:effectLst/>
                              <a:latin typeface="Arial" pitchFamily="34" charset="0"/>
                              <a:ea typeface="Arial" pitchFamily="34" charset="0"/>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fr-F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534C26" w:rsidRPr="00E30870" w:rsidRDefault="00534C26" w:rsidP="00BB5847">
      <w:pPr>
        <w:jc w:val="both"/>
        <w:rPr>
          <w:rFonts w:asciiTheme="majorBidi" w:hAnsiTheme="majorBidi" w:cstheme="majorBidi"/>
          <w:color w:val="000000" w:themeColor="text1"/>
        </w:rPr>
      </w:pPr>
      <w:r w:rsidRPr="00E30870">
        <w:rPr>
          <w:rFonts w:asciiTheme="majorBidi" w:hAnsiTheme="majorBidi" w:cstheme="majorBidi"/>
          <w:b/>
          <w:bCs/>
          <w:color w:val="000000" w:themeColor="text1"/>
        </w:rPr>
        <w:t>Figure 10</w:t>
      </w:r>
      <w:r w:rsidRPr="00E30870">
        <w:rPr>
          <w:rFonts w:asciiTheme="majorBidi" w:hAnsiTheme="majorBidi" w:cstheme="majorBidi"/>
          <w:color w:val="000000" w:themeColor="text1"/>
        </w:rPr>
        <w:t xml:space="preserve"> Structure de différentes variétés des trois familles de lipopeptides (a) iturines, (b) fengycines (C14-C18) et (c) surfactines (C12-C16).</w:t>
      </w: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rPr>
      </w:pP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sz w:val="24"/>
          <w:szCs w:val="24"/>
        </w:rPr>
      </w:pPr>
      <w:proofErr w:type="spellStart"/>
      <w:r w:rsidRPr="00E30870">
        <w:rPr>
          <w:rFonts w:asciiTheme="majorBidi" w:hAnsiTheme="majorBidi" w:cstheme="majorBidi"/>
          <w:color w:val="000000" w:themeColor="text1"/>
          <w:sz w:val="24"/>
          <w:szCs w:val="24"/>
        </w:rPr>
        <w:t>Yu</w:t>
      </w:r>
      <w:proofErr w:type="spellEnd"/>
      <w:r w:rsidRPr="00E30870">
        <w:rPr>
          <w:rFonts w:asciiTheme="majorBidi" w:hAnsiTheme="majorBidi" w:cstheme="majorBidi"/>
          <w:color w:val="000000" w:themeColor="text1"/>
          <w:sz w:val="24"/>
          <w:szCs w:val="24"/>
        </w:rPr>
        <w:t xml:space="preserve"> Li </w:t>
      </w:r>
      <w:r w:rsidRPr="00E30870">
        <w:rPr>
          <w:rFonts w:asciiTheme="majorBidi" w:hAnsiTheme="majorBidi" w:cstheme="majorBidi"/>
          <w:i/>
          <w:iCs/>
          <w:color w:val="000000" w:themeColor="text1"/>
          <w:sz w:val="24"/>
          <w:szCs w:val="24"/>
        </w:rPr>
        <w:t>et al.</w:t>
      </w:r>
      <w:r w:rsidRPr="00E30870">
        <w:rPr>
          <w:rFonts w:asciiTheme="majorBidi" w:hAnsiTheme="majorBidi" w:cstheme="majorBidi"/>
          <w:color w:val="000000" w:themeColor="text1"/>
          <w:sz w:val="24"/>
          <w:szCs w:val="24"/>
        </w:rPr>
        <w:t xml:space="preserve"> (2012) et </w:t>
      </w:r>
      <w:proofErr w:type="spellStart"/>
      <w:r w:rsidRPr="00E30870">
        <w:rPr>
          <w:rFonts w:asciiTheme="majorBidi" w:hAnsiTheme="majorBidi" w:cstheme="majorBidi"/>
          <w:color w:val="000000" w:themeColor="text1"/>
          <w:sz w:val="24"/>
          <w:szCs w:val="24"/>
        </w:rPr>
        <w:t>Pathak</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et al.</w:t>
      </w:r>
      <w:r w:rsidRPr="00E30870">
        <w:rPr>
          <w:rFonts w:asciiTheme="majorBidi" w:hAnsiTheme="majorBidi" w:cstheme="majorBidi"/>
          <w:color w:val="000000" w:themeColor="text1"/>
          <w:sz w:val="24"/>
          <w:szCs w:val="24"/>
        </w:rPr>
        <w:t xml:space="preserve"> (2012) ont décrit </w:t>
      </w:r>
      <w:r w:rsidRPr="00E30870">
        <w:rPr>
          <w:rFonts w:asciiTheme="majorBidi" w:hAnsiTheme="majorBidi" w:cstheme="majorBidi"/>
          <w:color w:val="000000" w:themeColor="text1"/>
          <w:sz w:val="24"/>
          <w:szCs w:val="24"/>
          <w:lang w:val="fr-BE"/>
        </w:rPr>
        <w:t xml:space="preserve">de nouvelles classes de fengycines, à savoir fengycine </w:t>
      </w:r>
      <w:r w:rsidRPr="00E30870">
        <w:rPr>
          <w:rFonts w:asciiTheme="majorBidi" w:hAnsiTheme="majorBidi" w:cstheme="majorBidi"/>
          <w:color w:val="000000" w:themeColor="text1"/>
          <w:sz w:val="24"/>
          <w:szCs w:val="24"/>
        </w:rPr>
        <w:t>A-C19,</w:t>
      </w:r>
      <w:r w:rsidR="009F6B57" w:rsidRPr="00E30870">
        <w:rPr>
          <w:rFonts w:asciiTheme="majorBidi" w:hAnsiTheme="majorBidi" w:cstheme="majorBidi"/>
          <w:color w:val="000000" w:themeColor="text1"/>
          <w:sz w:val="24"/>
          <w:szCs w:val="24"/>
        </w:rPr>
        <w:t xml:space="preserve"> fengycine C:C15 – C18, fengycine D: C15 –C18 et fengycine S: C15–C</w:t>
      </w:r>
      <w:r w:rsidRPr="00E30870">
        <w:rPr>
          <w:rFonts w:asciiTheme="majorBidi" w:hAnsiTheme="majorBidi" w:cstheme="majorBidi"/>
          <w:color w:val="000000" w:themeColor="text1"/>
          <w:sz w:val="24"/>
          <w:szCs w:val="24"/>
        </w:rPr>
        <w:t>18 (figure 11-a) et fengycine A2, B2 et C (figure 11-b), respectivement.</w:t>
      </w: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rPr>
      </w:pPr>
    </w:p>
    <w:p w:rsidR="00534C26" w:rsidRPr="00E30870" w:rsidRDefault="00534C26" w:rsidP="00534C26">
      <w:pPr>
        <w:spacing w:line="360" w:lineRule="auto"/>
        <w:jc w:val="both"/>
        <w:rPr>
          <w:rFonts w:asciiTheme="majorBidi" w:hAnsiTheme="majorBidi" w:cstheme="majorBidi"/>
          <w:color w:val="000000" w:themeColor="text1"/>
        </w:rPr>
      </w:pPr>
    </w:p>
    <w:p w:rsidR="00534C26" w:rsidRPr="00E30870" w:rsidRDefault="00F83B7D" w:rsidP="005775DB">
      <w:pPr>
        <w:spacing w:line="360" w:lineRule="auto"/>
        <w:jc w:val="center"/>
        <w:rPr>
          <w:rFonts w:asciiTheme="majorBidi" w:hAnsiTheme="majorBidi" w:cstheme="majorBidi"/>
          <w:color w:val="000000" w:themeColor="text1"/>
        </w:rPr>
      </w:pPr>
      <w:r>
        <w:rPr>
          <w:rFonts w:asciiTheme="majorBidi" w:hAnsiTheme="majorBidi" w:cstheme="majorBidi"/>
          <w:noProof/>
          <w:color w:val="000000" w:themeColor="text1"/>
          <w:lang w:eastAsia="fr-FR"/>
        </w:rPr>
        <w:lastRenderedPageBreak/>
        <w:pict>
          <v:rect id="_x0000_s1036" style="position:absolute;left:0;text-align:left;margin-left:-1.85pt;margin-top:13.25pt;width:467.65pt;height:400.55pt;z-index:-251645952" stroked="f" strokecolor="blue" strokeweight="1pt"/>
        </w:pict>
      </w:r>
      <w:r>
        <w:rPr>
          <w:rFonts w:asciiTheme="majorBidi" w:hAnsiTheme="majorBidi" w:cstheme="majorBidi"/>
          <w:noProof/>
          <w:color w:val="000000" w:themeColor="text1"/>
        </w:rPr>
        <w:pict>
          <v:shape id="_x0000_s1039" type="#_x0000_t202" style="position:absolute;left:0;text-align:left;margin-left:69.05pt;margin-top:395.35pt;width:302.55pt;height:57.6pt;z-index:251673600;mso-width-relative:margin;mso-height-relative:margin" stroked="f">
            <v:textbox>
              <w:txbxContent>
                <w:p w:rsidR="00D6379F" w:rsidRDefault="00D6379F" w:rsidP="00D6379F">
                  <w:pPr>
                    <w:jc w:val="both"/>
                    <w:rPr>
                      <w:rFonts w:asciiTheme="majorBidi" w:hAnsiTheme="majorBidi" w:cstheme="majorBidi"/>
                      <w:color w:val="000000" w:themeColor="text1"/>
                    </w:rPr>
                  </w:pPr>
                  <w:r w:rsidRPr="007443DF">
                    <w:rPr>
                      <w:rFonts w:asciiTheme="majorBidi" w:hAnsiTheme="majorBidi" w:cstheme="majorBidi"/>
                      <w:b/>
                      <w:bCs/>
                      <w:color w:val="000000" w:themeColor="text1"/>
                    </w:rPr>
                    <w:t>Figure 11</w:t>
                  </w:r>
                  <w:r w:rsidRPr="007443DF">
                    <w:rPr>
                      <w:rFonts w:asciiTheme="majorBidi" w:hAnsiTheme="majorBidi" w:cstheme="majorBidi"/>
                      <w:color w:val="000000" w:themeColor="text1"/>
                    </w:rPr>
                    <w:t xml:space="preserve"> Structure de nouve</w:t>
                  </w:r>
                  <w:r w:rsidR="00BF4537">
                    <w:rPr>
                      <w:rFonts w:asciiTheme="majorBidi" w:hAnsiTheme="majorBidi" w:cstheme="majorBidi"/>
                      <w:color w:val="000000" w:themeColor="text1"/>
                    </w:rPr>
                    <w:t>lles variétés de fengycines (a)</w:t>
                  </w:r>
                  <w:r w:rsidRPr="007443DF">
                    <w:rPr>
                      <w:rFonts w:asciiTheme="majorBidi" w:hAnsiTheme="majorBidi" w:cstheme="majorBidi"/>
                      <w:color w:val="000000" w:themeColor="text1"/>
                    </w:rPr>
                    <w:t>: décrite</w:t>
                  </w:r>
                  <w:r w:rsidR="00BF4537">
                    <w:rPr>
                      <w:rFonts w:asciiTheme="majorBidi" w:hAnsiTheme="majorBidi" w:cstheme="majorBidi"/>
                      <w:color w:val="000000" w:themeColor="text1"/>
                    </w:rPr>
                    <w:t>s</w:t>
                  </w:r>
                  <w:r w:rsidRPr="007443DF">
                    <w:rPr>
                      <w:rFonts w:asciiTheme="majorBidi" w:hAnsiTheme="majorBidi" w:cstheme="majorBidi"/>
                      <w:color w:val="000000" w:themeColor="text1"/>
                    </w:rPr>
                    <w:t xml:space="preserve"> par </w:t>
                  </w:r>
                  <w:proofErr w:type="spellStart"/>
                  <w:r w:rsidRPr="007443DF">
                    <w:rPr>
                      <w:rFonts w:asciiTheme="majorBidi" w:hAnsiTheme="majorBidi" w:cstheme="majorBidi"/>
                      <w:color w:val="000000" w:themeColor="text1"/>
                    </w:rPr>
                    <w:t>Yu</w:t>
                  </w:r>
                  <w:proofErr w:type="spellEnd"/>
                  <w:r w:rsidRPr="007443DF">
                    <w:rPr>
                      <w:rFonts w:asciiTheme="majorBidi" w:hAnsiTheme="majorBidi" w:cstheme="majorBidi"/>
                      <w:color w:val="000000" w:themeColor="text1"/>
                    </w:rPr>
                    <w:t xml:space="preserve"> Li </w:t>
                  </w:r>
                  <w:r w:rsidRPr="007443DF">
                    <w:rPr>
                      <w:rFonts w:asciiTheme="majorBidi" w:hAnsiTheme="majorBidi" w:cstheme="majorBidi"/>
                      <w:i/>
                      <w:iCs/>
                      <w:color w:val="000000" w:themeColor="text1"/>
                    </w:rPr>
                    <w:t xml:space="preserve">et </w:t>
                  </w:r>
                  <w:proofErr w:type="gramStart"/>
                  <w:r w:rsidRPr="007443DF">
                    <w:rPr>
                      <w:rFonts w:asciiTheme="majorBidi" w:hAnsiTheme="majorBidi" w:cstheme="majorBidi"/>
                      <w:i/>
                      <w:iCs/>
                      <w:color w:val="000000" w:themeColor="text1"/>
                    </w:rPr>
                    <w:t>al.,</w:t>
                  </w:r>
                  <w:proofErr w:type="gramEnd"/>
                  <w:r w:rsidR="00BF4537">
                    <w:rPr>
                      <w:rFonts w:asciiTheme="majorBidi" w:hAnsiTheme="majorBidi" w:cstheme="majorBidi"/>
                      <w:color w:val="000000" w:themeColor="text1"/>
                    </w:rPr>
                    <w:t xml:space="preserve"> 2012 et (b)</w:t>
                  </w:r>
                  <w:r w:rsidRPr="007443DF">
                    <w:rPr>
                      <w:rFonts w:asciiTheme="majorBidi" w:hAnsiTheme="majorBidi" w:cstheme="majorBidi"/>
                      <w:color w:val="000000" w:themeColor="text1"/>
                    </w:rPr>
                    <w:t>:</w:t>
                  </w:r>
                  <w:r w:rsidR="00BF4537">
                    <w:rPr>
                      <w:rFonts w:asciiTheme="majorBidi" w:hAnsiTheme="majorBidi" w:cstheme="majorBidi"/>
                      <w:color w:val="000000" w:themeColor="text1"/>
                    </w:rPr>
                    <w:t xml:space="preserve"> </w:t>
                  </w:r>
                  <w:r w:rsidR="00BF4537" w:rsidRPr="007443DF">
                    <w:rPr>
                      <w:rFonts w:asciiTheme="majorBidi" w:hAnsiTheme="majorBidi" w:cstheme="majorBidi"/>
                      <w:color w:val="000000" w:themeColor="text1"/>
                    </w:rPr>
                    <w:t>décrites</w:t>
                  </w:r>
                  <w:r w:rsidRPr="007443DF">
                    <w:rPr>
                      <w:rFonts w:asciiTheme="majorBidi" w:hAnsiTheme="majorBidi" w:cstheme="majorBidi"/>
                      <w:color w:val="000000" w:themeColor="text1"/>
                    </w:rPr>
                    <w:t xml:space="preserve"> par  </w:t>
                  </w:r>
                  <w:proofErr w:type="spellStart"/>
                  <w:r w:rsidRPr="007443DF">
                    <w:rPr>
                      <w:rFonts w:asciiTheme="majorBidi" w:hAnsiTheme="majorBidi" w:cstheme="majorBidi"/>
                      <w:color w:val="000000" w:themeColor="text1"/>
                    </w:rPr>
                    <w:t>Pathak</w:t>
                  </w:r>
                  <w:proofErr w:type="spellEnd"/>
                  <w:r w:rsidRPr="007443DF">
                    <w:rPr>
                      <w:rFonts w:asciiTheme="majorBidi" w:hAnsiTheme="majorBidi" w:cstheme="majorBidi"/>
                      <w:color w:val="000000" w:themeColor="text1"/>
                    </w:rPr>
                    <w:t xml:space="preserve"> </w:t>
                  </w:r>
                  <w:r w:rsidRPr="007443DF">
                    <w:rPr>
                      <w:rFonts w:asciiTheme="majorBidi" w:hAnsiTheme="majorBidi" w:cstheme="majorBidi"/>
                      <w:i/>
                      <w:iCs/>
                      <w:color w:val="000000" w:themeColor="text1"/>
                    </w:rPr>
                    <w:t>et al.,</w:t>
                  </w:r>
                  <w:r w:rsidRPr="007443DF">
                    <w:rPr>
                      <w:rFonts w:asciiTheme="majorBidi" w:hAnsiTheme="majorBidi" w:cstheme="majorBidi"/>
                      <w:color w:val="000000" w:themeColor="text1"/>
                    </w:rPr>
                    <w:t xml:space="preserve"> 2012. </w:t>
                  </w:r>
                </w:p>
                <w:p w:rsidR="00D6379F" w:rsidRDefault="00D6379F" w:rsidP="00D6379F"/>
              </w:txbxContent>
            </v:textbox>
          </v:shape>
        </w:pict>
      </w:r>
      <w:r w:rsidR="00534C26" w:rsidRPr="00E30870">
        <w:rPr>
          <w:rFonts w:asciiTheme="majorBidi" w:hAnsiTheme="majorBidi" w:cstheme="majorBidi"/>
          <w:noProof/>
          <w:color w:val="000000" w:themeColor="text1"/>
          <w:lang w:eastAsia="fr-FR"/>
        </w:rPr>
        <w:drawing>
          <wp:inline distT="0" distB="0" distL="0" distR="0">
            <wp:extent cx="3569394" cy="2328262"/>
            <wp:effectExtent l="19050" t="0" r="0" b="0"/>
            <wp:docPr id="37" name="Image 15"/>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46" cstate="print"/>
                    <a:srcRect/>
                    <a:stretch>
                      <a:fillRect/>
                    </a:stretch>
                  </pic:blipFill>
                  <pic:spPr bwMode="auto">
                    <a:xfrm>
                      <a:off x="0" y="0"/>
                      <a:ext cx="3572880" cy="2330536"/>
                    </a:xfrm>
                    <a:prstGeom prst="rect">
                      <a:avLst/>
                    </a:prstGeom>
                    <a:noFill/>
                    <a:ln w="9525">
                      <a:noFill/>
                      <a:miter lim="800000"/>
                      <a:headEnd/>
                      <a:tailEnd/>
                    </a:ln>
                  </pic:spPr>
                </pic:pic>
              </a:graphicData>
            </a:graphic>
          </wp:inline>
        </w:drawing>
      </w:r>
      <w:r w:rsidR="00534C26" w:rsidRPr="00E30870">
        <w:rPr>
          <w:rFonts w:asciiTheme="majorBidi" w:hAnsiTheme="majorBidi" w:cstheme="majorBidi"/>
          <w:noProof/>
          <w:color w:val="000000" w:themeColor="text1"/>
          <w:lang w:eastAsia="fr-FR"/>
        </w:rPr>
        <w:drawing>
          <wp:inline distT="0" distB="0" distL="0" distR="0">
            <wp:extent cx="4007384" cy="2827724"/>
            <wp:effectExtent l="19050" t="0" r="0" b="0"/>
            <wp:docPr id="38" name="Image 16"/>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47" cstate="print"/>
                    <a:srcRect/>
                    <a:stretch>
                      <a:fillRect/>
                    </a:stretch>
                  </pic:blipFill>
                  <pic:spPr bwMode="auto">
                    <a:xfrm>
                      <a:off x="0" y="0"/>
                      <a:ext cx="4011418" cy="2830571"/>
                    </a:xfrm>
                    <a:prstGeom prst="rect">
                      <a:avLst/>
                    </a:prstGeom>
                    <a:noFill/>
                    <a:ln w="9525">
                      <a:noFill/>
                      <a:miter lim="800000"/>
                      <a:headEnd/>
                      <a:tailEnd/>
                    </a:ln>
                  </pic:spPr>
                </pic:pic>
              </a:graphicData>
            </a:graphic>
          </wp:inline>
        </w:drawing>
      </w:r>
    </w:p>
    <w:p w:rsidR="005775DB" w:rsidRPr="00E30870" w:rsidRDefault="005775DB" w:rsidP="005775DB">
      <w:pPr>
        <w:jc w:val="both"/>
        <w:rPr>
          <w:rFonts w:asciiTheme="majorBidi" w:hAnsiTheme="majorBidi" w:cstheme="majorBidi"/>
          <w:color w:val="000000" w:themeColor="text1"/>
        </w:rPr>
      </w:pPr>
    </w:p>
    <w:p w:rsidR="00FE3AD0" w:rsidRPr="00E30870" w:rsidRDefault="00FE3AD0" w:rsidP="00FE3AD0">
      <w:pPr>
        <w:rPr>
          <w:rFonts w:asciiTheme="majorBidi" w:hAnsiTheme="majorBidi" w:cstheme="majorBidi"/>
          <w:color w:val="000000" w:themeColor="text1"/>
        </w:rPr>
      </w:pPr>
    </w:p>
    <w:p w:rsidR="00534C26" w:rsidRPr="00E30870" w:rsidRDefault="00FE3AD0" w:rsidP="00FE3AD0">
      <w:pPr>
        <w:rPr>
          <w:rFonts w:asciiTheme="majorBidi" w:hAnsiTheme="majorBidi" w:cstheme="majorBidi"/>
          <w:b/>
          <w:bCs/>
          <w:color w:val="000000" w:themeColor="text1"/>
          <w:sz w:val="24"/>
          <w:szCs w:val="24"/>
        </w:rPr>
      </w:pPr>
      <w:r w:rsidRPr="00E30870">
        <w:rPr>
          <w:rFonts w:asciiTheme="majorBidi" w:hAnsiTheme="majorBidi" w:cstheme="majorBidi"/>
          <w:color w:val="000000" w:themeColor="text1"/>
        </w:rPr>
        <w:t xml:space="preserve">2.8.2- </w:t>
      </w:r>
      <w:r w:rsidR="00534C26" w:rsidRPr="00E30870">
        <w:rPr>
          <w:rFonts w:asciiTheme="majorBidi" w:hAnsiTheme="majorBidi" w:cstheme="majorBidi"/>
          <w:b/>
          <w:bCs/>
          <w:color w:val="000000" w:themeColor="text1"/>
          <w:sz w:val="24"/>
          <w:szCs w:val="24"/>
        </w:rPr>
        <w:t>Rôles des lipopeptides liés au biocontrôle</w:t>
      </w:r>
    </w:p>
    <w:p w:rsidR="00534C26" w:rsidRPr="00E30870" w:rsidRDefault="00534C26" w:rsidP="00534C26">
      <w:pPr>
        <w:spacing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 xml:space="preserve">Les lipopeptides interviennent dans plusieurs mécanismes de biocontrôle développés par les bactéries du genre </w:t>
      </w:r>
      <w:r w:rsidRPr="00E30870">
        <w:rPr>
          <w:rFonts w:asciiTheme="majorBidi" w:hAnsiTheme="majorBidi" w:cstheme="majorBidi"/>
          <w:i/>
          <w:iCs/>
          <w:color w:val="000000" w:themeColor="text1"/>
          <w:sz w:val="24"/>
          <w:szCs w:val="24"/>
        </w:rPr>
        <w:t>Bacillus</w:t>
      </w:r>
      <w:r w:rsidRPr="00E30870">
        <w:rPr>
          <w:rFonts w:asciiTheme="majorBidi" w:hAnsiTheme="majorBidi" w:cstheme="majorBidi"/>
          <w:color w:val="000000" w:themeColor="text1"/>
          <w:sz w:val="24"/>
          <w:szCs w:val="24"/>
        </w:rPr>
        <w:t xml:space="preserve"> (figure 12). Ces méc</w:t>
      </w:r>
      <w:r w:rsidR="002D490C" w:rsidRPr="00E30870">
        <w:rPr>
          <w:rFonts w:asciiTheme="majorBidi" w:hAnsiTheme="majorBidi" w:cstheme="majorBidi"/>
          <w:color w:val="000000" w:themeColor="text1"/>
          <w:sz w:val="24"/>
          <w:szCs w:val="24"/>
        </w:rPr>
        <w:t>anismes sont évoqués ci dessous</w:t>
      </w:r>
      <w:r w:rsidRPr="00E30870">
        <w:rPr>
          <w:rFonts w:asciiTheme="majorBidi" w:hAnsiTheme="majorBidi" w:cstheme="majorBidi"/>
          <w:color w:val="000000" w:themeColor="text1"/>
          <w:sz w:val="24"/>
          <w:szCs w:val="24"/>
        </w:rPr>
        <w:t>:</w:t>
      </w:r>
    </w:p>
    <w:p w:rsidR="00534C26" w:rsidRPr="00E30870" w:rsidRDefault="002D490C" w:rsidP="002D490C">
      <w:pPr>
        <w:rPr>
          <w:rFonts w:asciiTheme="majorBidi" w:hAnsiTheme="majorBidi" w:cstheme="majorBidi"/>
          <w:i/>
          <w:iCs/>
          <w:color w:val="000000" w:themeColor="text1"/>
          <w:sz w:val="24"/>
          <w:szCs w:val="24"/>
        </w:rPr>
      </w:pPr>
      <w:r w:rsidRPr="00E30870">
        <w:rPr>
          <w:rFonts w:asciiTheme="majorBidi" w:hAnsiTheme="majorBidi" w:cstheme="majorBidi"/>
          <w:i/>
          <w:iCs/>
          <w:color w:val="000000" w:themeColor="text1"/>
          <w:sz w:val="24"/>
          <w:szCs w:val="24"/>
        </w:rPr>
        <w:t xml:space="preserve">2.8.2.1- </w:t>
      </w:r>
      <w:r w:rsidR="00534C26" w:rsidRPr="00E30870">
        <w:rPr>
          <w:rFonts w:asciiTheme="majorBidi" w:hAnsiTheme="majorBidi" w:cstheme="majorBidi"/>
          <w:i/>
          <w:iCs/>
          <w:color w:val="000000" w:themeColor="text1"/>
          <w:sz w:val="24"/>
          <w:szCs w:val="24"/>
        </w:rPr>
        <w:t>Colonisation des racines des plantes</w:t>
      </w:r>
    </w:p>
    <w:p w:rsidR="00534C26" w:rsidRPr="00E30870" w:rsidRDefault="00534C26" w:rsidP="003D5CD9">
      <w:pPr>
        <w:spacing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 xml:space="preserve">Les plantes créent un environnement nutritionnel et physicochimique spécifique pour le développement des microorganismes dans la rhizosphere (Bais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2006). La colonisation des racines par les </w:t>
      </w:r>
      <w:r w:rsidRPr="00E30870">
        <w:rPr>
          <w:rFonts w:asciiTheme="majorBidi" w:hAnsiTheme="majorBidi" w:cstheme="majorBidi"/>
          <w:i/>
          <w:iCs/>
          <w:color w:val="000000" w:themeColor="text1"/>
          <w:sz w:val="24"/>
          <w:szCs w:val="24"/>
        </w:rPr>
        <w:t>Bacillus</w:t>
      </w:r>
      <w:r w:rsidRPr="00E30870">
        <w:rPr>
          <w:rFonts w:asciiTheme="majorBidi" w:hAnsiTheme="majorBidi" w:cstheme="majorBidi"/>
          <w:color w:val="000000" w:themeColor="text1"/>
          <w:sz w:val="24"/>
          <w:szCs w:val="24"/>
        </w:rPr>
        <w:t xml:space="preserve"> est un processus complexe dans lequel les lipopeptides peuvent intervenir à différents niveaux. L’attachement et l’agrégation des microcolonies sous forme de biofilme est à la base du phénomène de colonisation (</w:t>
      </w:r>
      <w:proofErr w:type="spellStart"/>
      <w:r w:rsidRPr="00E30870">
        <w:rPr>
          <w:rFonts w:asciiTheme="majorBidi" w:hAnsiTheme="majorBidi" w:cstheme="majorBidi"/>
          <w:color w:val="000000" w:themeColor="text1"/>
          <w:sz w:val="24"/>
          <w:szCs w:val="24"/>
        </w:rPr>
        <w:t>Ramey</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2004). Dans ce contexte, les études ont montré le rôle des surfactines et non pas des fengycines ou des iturines dans la </w:t>
      </w:r>
      <w:r w:rsidRPr="00E30870">
        <w:rPr>
          <w:rFonts w:asciiTheme="majorBidi" w:hAnsiTheme="majorBidi" w:cstheme="majorBidi"/>
          <w:color w:val="000000" w:themeColor="text1"/>
          <w:sz w:val="24"/>
          <w:szCs w:val="24"/>
        </w:rPr>
        <w:lastRenderedPageBreak/>
        <w:t>formation des pellicules dans l’interface eau-air (</w:t>
      </w:r>
      <w:proofErr w:type="spellStart"/>
      <w:r w:rsidRPr="00E30870">
        <w:rPr>
          <w:rFonts w:asciiTheme="majorBidi" w:hAnsiTheme="majorBidi" w:cstheme="majorBidi"/>
          <w:color w:val="000000" w:themeColor="text1"/>
          <w:sz w:val="24"/>
          <w:szCs w:val="24"/>
        </w:rPr>
        <w:t>Peypoux</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i/>
          <w:iCs/>
          <w:color w:val="000000" w:themeColor="text1"/>
          <w:sz w:val="24"/>
          <w:szCs w:val="24"/>
        </w:rPr>
        <w:t xml:space="preserve"> 1999</w:t>
      </w:r>
      <w:r w:rsidR="00FE5DDC"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Kinsinger</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et al.,</w:t>
      </w:r>
      <w:r w:rsidRPr="00E30870">
        <w:rPr>
          <w:rFonts w:asciiTheme="majorBidi" w:hAnsiTheme="majorBidi" w:cstheme="majorBidi"/>
          <w:color w:val="000000" w:themeColor="text1"/>
          <w:sz w:val="24"/>
          <w:szCs w:val="24"/>
        </w:rPr>
        <w:t xml:space="preserve"> 2003). Bais et ses collaborateurs ont mis en évidence le rôle des surfactines dans la formation d’un biofilme stable, de la souche </w:t>
      </w:r>
      <w:r w:rsidRPr="00E30870">
        <w:rPr>
          <w:rFonts w:asciiTheme="majorBidi" w:hAnsiTheme="majorBidi" w:cstheme="majorBidi"/>
          <w:i/>
          <w:iCs/>
          <w:color w:val="000000" w:themeColor="text1"/>
          <w:sz w:val="24"/>
          <w:szCs w:val="24"/>
        </w:rPr>
        <w:t>B. subtilis</w:t>
      </w:r>
      <w:r w:rsidRPr="00E30870">
        <w:rPr>
          <w:rFonts w:asciiTheme="majorBidi" w:hAnsiTheme="majorBidi" w:cstheme="majorBidi"/>
          <w:color w:val="000000" w:themeColor="text1"/>
          <w:sz w:val="24"/>
          <w:szCs w:val="24"/>
        </w:rPr>
        <w:t xml:space="preserve"> 6051 sur les racines d’</w:t>
      </w:r>
      <w:proofErr w:type="spellStart"/>
      <w:r w:rsidRPr="00E30870">
        <w:rPr>
          <w:rFonts w:asciiTheme="majorBidi" w:hAnsiTheme="majorBidi" w:cstheme="majorBidi"/>
          <w:i/>
          <w:iCs/>
          <w:color w:val="000000" w:themeColor="text1"/>
          <w:sz w:val="24"/>
          <w:szCs w:val="24"/>
        </w:rPr>
        <w:t>Arabidopsis</w:t>
      </w:r>
      <w:proofErr w:type="spellEnd"/>
      <w:r w:rsidRPr="00E30870">
        <w:rPr>
          <w:rFonts w:asciiTheme="majorBidi" w:hAnsiTheme="majorBidi" w:cstheme="majorBidi"/>
          <w:color w:val="000000" w:themeColor="text1"/>
          <w:sz w:val="24"/>
          <w:szCs w:val="24"/>
        </w:rPr>
        <w:t xml:space="preserve"> (Bais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2004). La suppression de l’expression des surfactines dans cette souche diminue le taux de colonisation et le biocontrôle de la maladie causée par </w:t>
      </w:r>
      <w:proofErr w:type="spellStart"/>
      <w:r w:rsidRPr="00E30870">
        <w:rPr>
          <w:rFonts w:asciiTheme="majorBidi" w:hAnsiTheme="majorBidi" w:cstheme="majorBidi"/>
          <w:i/>
          <w:iCs/>
          <w:color w:val="000000" w:themeColor="text1"/>
          <w:sz w:val="24"/>
          <w:szCs w:val="24"/>
        </w:rPr>
        <w:t>Pseudomonas</w:t>
      </w:r>
      <w:proofErr w:type="spellEnd"/>
      <w:r w:rsidRPr="00E30870">
        <w:rPr>
          <w:rFonts w:asciiTheme="majorBidi" w:hAnsiTheme="majorBidi" w:cstheme="majorBidi"/>
          <w:i/>
          <w:iCs/>
          <w:color w:val="000000" w:themeColor="text1"/>
          <w:sz w:val="24"/>
          <w:szCs w:val="24"/>
        </w:rPr>
        <w:t xml:space="preserve"> </w:t>
      </w:r>
      <w:proofErr w:type="spellStart"/>
      <w:r w:rsidRPr="00E30870">
        <w:rPr>
          <w:rFonts w:asciiTheme="majorBidi" w:hAnsiTheme="majorBidi" w:cstheme="majorBidi"/>
          <w:i/>
          <w:iCs/>
          <w:color w:val="000000" w:themeColor="text1"/>
          <w:sz w:val="24"/>
          <w:szCs w:val="24"/>
        </w:rPr>
        <w:t>syringae</w:t>
      </w:r>
      <w:proofErr w:type="spellEnd"/>
      <w:r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Ahimou</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2000). </w:t>
      </w:r>
      <w:r w:rsidRPr="00E30870">
        <w:rPr>
          <w:rStyle w:val="hps"/>
          <w:rFonts w:asciiTheme="majorBidi" w:hAnsiTheme="majorBidi" w:cstheme="majorBidi"/>
          <w:color w:val="000000" w:themeColor="text1"/>
          <w:sz w:val="24"/>
          <w:szCs w:val="24"/>
        </w:rPr>
        <w:t>L'activité spécifique des</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surfactines</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dans l'adhésion cellulaire</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et /</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ou la formation de</w:t>
      </w:r>
      <w:r w:rsidRPr="00E30870">
        <w:rPr>
          <w:rFonts w:asciiTheme="majorBidi" w:hAnsiTheme="majorBidi" w:cstheme="majorBidi"/>
          <w:color w:val="000000" w:themeColor="text1"/>
          <w:sz w:val="24"/>
          <w:szCs w:val="24"/>
        </w:rPr>
        <w:t xml:space="preserve"> </w:t>
      </w:r>
      <w:proofErr w:type="spellStart"/>
      <w:r w:rsidRPr="00E30870">
        <w:rPr>
          <w:rStyle w:val="hps"/>
          <w:rFonts w:asciiTheme="majorBidi" w:hAnsiTheme="majorBidi" w:cstheme="majorBidi"/>
          <w:color w:val="000000" w:themeColor="text1"/>
          <w:sz w:val="24"/>
          <w:szCs w:val="24"/>
        </w:rPr>
        <w:t>biofilm</w:t>
      </w:r>
      <w:proofErr w:type="spellEnd"/>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pourrait s'expliquer par</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sa topologie</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3D, qui</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renforce</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son</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caractère amphiphile par rapport aux autres</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familles</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de LPS</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w:t>
      </w:r>
      <w:proofErr w:type="spellStart"/>
      <w:r w:rsidRPr="00E30870">
        <w:rPr>
          <w:rFonts w:asciiTheme="majorBidi" w:hAnsiTheme="majorBidi" w:cstheme="majorBidi"/>
          <w:color w:val="000000" w:themeColor="text1"/>
          <w:sz w:val="24"/>
          <w:szCs w:val="24"/>
        </w:rPr>
        <w:t>Bonmatin</w:t>
      </w:r>
      <w:proofErr w:type="spellEnd"/>
      <w:r w:rsidRPr="00E30870">
        <w:rPr>
          <w:rFonts w:asciiTheme="majorBidi" w:hAnsiTheme="majorBidi" w:cstheme="majorBidi"/>
          <w:color w:val="000000" w:themeColor="text1"/>
          <w:sz w:val="24"/>
          <w:szCs w:val="24"/>
        </w:rPr>
        <w:t xml:space="preserve"> 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i/>
          <w:iCs/>
          <w:color w:val="000000" w:themeColor="text1"/>
          <w:sz w:val="24"/>
          <w:szCs w:val="24"/>
        </w:rPr>
        <w:t xml:space="preserve"> 2003</w:t>
      </w:r>
      <w:r w:rsidR="00FE5DDC" w:rsidRPr="00E30870">
        <w:rPr>
          <w:rFonts w:asciiTheme="majorBidi" w:hAnsiTheme="majorBidi" w:cstheme="majorBidi"/>
          <w:color w:val="000000" w:themeColor="text1"/>
          <w:sz w:val="24"/>
          <w:szCs w:val="24"/>
        </w:rPr>
        <w:t xml:space="preserve">; </w:t>
      </w:r>
      <w:proofErr w:type="spellStart"/>
      <w:r w:rsidRPr="00E30870">
        <w:rPr>
          <w:rFonts w:asciiTheme="majorBidi" w:hAnsiTheme="majorBidi" w:cstheme="majorBidi"/>
          <w:color w:val="000000" w:themeColor="text1"/>
          <w:sz w:val="24"/>
          <w:szCs w:val="24"/>
        </w:rPr>
        <w:t>Peypoux</w:t>
      </w:r>
      <w:proofErr w:type="spellEnd"/>
      <w:r w:rsidRPr="00E30870">
        <w:rPr>
          <w:rFonts w:asciiTheme="majorBidi" w:hAnsiTheme="majorBidi" w:cstheme="majorBidi"/>
          <w:color w:val="000000" w:themeColor="text1"/>
          <w:sz w:val="24"/>
          <w:szCs w:val="24"/>
        </w:rPr>
        <w:t>, 19</w:t>
      </w:r>
      <w:r w:rsidR="00FE5DDC" w:rsidRPr="00E30870">
        <w:rPr>
          <w:rFonts w:asciiTheme="majorBidi" w:hAnsiTheme="majorBidi" w:cstheme="majorBidi"/>
          <w:color w:val="000000" w:themeColor="text1"/>
          <w:sz w:val="24"/>
          <w:szCs w:val="24"/>
        </w:rPr>
        <w:t xml:space="preserve">99). Les colonies bactériennes </w:t>
      </w:r>
      <w:r w:rsidRPr="00E30870">
        <w:rPr>
          <w:rFonts w:asciiTheme="majorBidi" w:hAnsiTheme="majorBidi" w:cstheme="majorBidi"/>
          <w:color w:val="000000" w:themeColor="text1"/>
          <w:sz w:val="24"/>
          <w:szCs w:val="24"/>
        </w:rPr>
        <w:t>se déplacent sur la racine pour atteindre la niche la plus riche en nutriment</w:t>
      </w:r>
      <w:r w:rsidR="00FE5DDC" w:rsidRPr="00E30870">
        <w:rPr>
          <w:rFonts w:asciiTheme="majorBidi" w:hAnsiTheme="majorBidi" w:cstheme="majorBidi"/>
          <w:color w:val="000000" w:themeColor="text1"/>
          <w:sz w:val="24"/>
          <w:szCs w:val="24"/>
        </w:rPr>
        <w:t>s</w:t>
      </w:r>
      <w:r w:rsidRPr="00E30870">
        <w:rPr>
          <w:rFonts w:asciiTheme="majorBidi" w:hAnsiTheme="majorBidi" w:cstheme="majorBidi"/>
          <w:color w:val="000000" w:themeColor="text1"/>
          <w:sz w:val="24"/>
          <w:szCs w:val="24"/>
        </w:rPr>
        <w:t>. Ceci s</w:t>
      </w:r>
      <w:r w:rsidR="008865D7" w:rsidRPr="00E30870">
        <w:rPr>
          <w:rFonts w:asciiTheme="majorBidi" w:hAnsiTheme="majorBidi" w:cstheme="majorBidi"/>
          <w:color w:val="000000" w:themeColor="text1"/>
          <w:sz w:val="24"/>
          <w:szCs w:val="24"/>
        </w:rPr>
        <w:t>’effectue par le phénomène de «</w:t>
      </w:r>
      <w:proofErr w:type="spellStart"/>
      <w:r w:rsidRPr="00E30870">
        <w:rPr>
          <w:rFonts w:asciiTheme="majorBidi" w:hAnsiTheme="majorBidi" w:cstheme="majorBidi"/>
          <w:color w:val="000000" w:themeColor="text1"/>
          <w:sz w:val="24"/>
          <w:szCs w:val="24"/>
        </w:rPr>
        <w:t>swarming</w:t>
      </w:r>
      <w:proofErr w:type="spellEnd"/>
      <w:r w:rsidRPr="00E30870">
        <w:rPr>
          <w:rFonts w:asciiTheme="majorBidi" w:hAnsiTheme="majorBidi" w:cstheme="majorBidi"/>
          <w:color w:val="000000" w:themeColor="text1"/>
          <w:sz w:val="24"/>
          <w:szCs w:val="24"/>
        </w:rPr>
        <w:t xml:space="preserve">». Il s’agit d’un mouvement guidé par les flagelles, il permet aux bactéries de se déplacer sou forme de </w:t>
      </w:r>
      <w:proofErr w:type="spellStart"/>
      <w:r w:rsidRPr="00E30870">
        <w:rPr>
          <w:rFonts w:asciiTheme="majorBidi" w:hAnsiTheme="majorBidi" w:cstheme="majorBidi"/>
          <w:color w:val="000000" w:themeColor="text1"/>
          <w:sz w:val="24"/>
          <w:szCs w:val="24"/>
        </w:rPr>
        <w:t>biofilm</w:t>
      </w:r>
      <w:proofErr w:type="spellEnd"/>
      <w:r w:rsidRPr="00E30870">
        <w:rPr>
          <w:rFonts w:asciiTheme="majorBidi" w:hAnsiTheme="majorBidi" w:cstheme="majorBidi"/>
          <w:color w:val="000000" w:themeColor="text1"/>
          <w:sz w:val="24"/>
          <w:szCs w:val="24"/>
        </w:rPr>
        <w:t xml:space="preserve"> tout au long de la surface des racines. </w:t>
      </w:r>
      <w:r w:rsidRPr="00E30870">
        <w:rPr>
          <w:rFonts w:asciiTheme="majorBidi" w:hAnsiTheme="majorBidi" w:cstheme="majorBidi"/>
          <w:color w:val="000000" w:themeColor="text1"/>
          <w:sz w:val="24"/>
          <w:szCs w:val="24"/>
          <w:lang w:val="fr-BE"/>
        </w:rPr>
        <w:t xml:space="preserve">Ce mouvement dépend principalement de la production des </w:t>
      </w:r>
      <w:proofErr w:type="spellStart"/>
      <w:r w:rsidRPr="00E30870">
        <w:rPr>
          <w:rFonts w:asciiTheme="majorBidi" w:hAnsiTheme="majorBidi" w:cstheme="majorBidi"/>
          <w:color w:val="000000" w:themeColor="text1"/>
          <w:sz w:val="24"/>
          <w:szCs w:val="24"/>
          <w:lang w:val="fr-BE"/>
        </w:rPr>
        <w:t>biosurfactants</w:t>
      </w:r>
      <w:proofErr w:type="spellEnd"/>
      <w:r w:rsidRPr="00E30870">
        <w:rPr>
          <w:rFonts w:asciiTheme="majorBidi" w:hAnsiTheme="majorBidi" w:cstheme="majorBidi"/>
          <w:color w:val="000000" w:themeColor="text1"/>
          <w:sz w:val="24"/>
          <w:szCs w:val="24"/>
          <w:lang w:val="fr-BE"/>
        </w:rPr>
        <w:t xml:space="preserve"> (</w:t>
      </w:r>
      <w:proofErr w:type="spellStart"/>
      <w:r w:rsidRPr="00E30870">
        <w:rPr>
          <w:rFonts w:asciiTheme="majorBidi" w:hAnsiTheme="majorBidi" w:cstheme="majorBidi"/>
          <w:color w:val="000000" w:themeColor="text1"/>
          <w:sz w:val="24"/>
          <w:szCs w:val="24"/>
        </w:rPr>
        <w:t>Raaijmakers</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2006;</w:t>
      </w:r>
      <w:r w:rsidRPr="00E30870">
        <w:rPr>
          <w:rFonts w:asciiTheme="majorBidi" w:hAnsiTheme="majorBidi" w:cstheme="majorBidi"/>
          <w:color w:val="000000" w:themeColor="text1"/>
          <w:sz w:val="24"/>
          <w:szCs w:val="24"/>
          <w:lang w:val="fr-BE"/>
        </w:rPr>
        <w:t xml:space="preserve"> </w:t>
      </w:r>
      <w:r w:rsidRPr="00E30870">
        <w:rPr>
          <w:rFonts w:asciiTheme="majorBidi" w:hAnsiTheme="majorBidi" w:cstheme="majorBidi"/>
          <w:color w:val="000000" w:themeColor="text1"/>
          <w:sz w:val="24"/>
          <w:szCs w:val="24"/>
        </w:rPr>
        <w:t xml:space="preserve">Daniels </w:t>
      </w:r>
      <w:r w:rsidRPr="00E30870">
        <w:rPr>
          <w:rFonts w:asciiTheme="majorBidi" w:hAnsiTheme="majorBidi" w:cstheme="majorBidi"/>
          <w:i/>
          <w:iCs/>
          <w:color w:val="000000" w:themeColor="text1"/>
          <w:sz w:val="24"/>
          <w:szCs w:val="24"/>
        </w:rPr>
        <w:t>et al.,</w:t>
      </w:r>
      <w:r w:rsidRPr="00E30870">
        <w:rPr>
          <w:rFonts w:asciiTheme="majorBidi" w:hAnsiTheme="majorBidi" w:cstheme="majorBidi"/>
          <w:color w:val="000000" w:themeColor="text1"/>
          <w:sz w:val="24"/>
          <w:szCs w:val="24"/>
        </w:rPr>
        <w:t xml:space="preserve"> 2004).</w:t>
      </w:r>
      <w:r w:rsidRPr="00E30870">
        <w:rPr>
          <w:rFonts w:asciiTheme="majorBidi" w:hAnsiTheme="majorBidi" w:cstheme="majorBidi"/>
          <w:color w:val="000000" w:themeColor="text1"/>
          <w:sz w:val="24"/>
          <w:szCs w:val="24"/>
          <w:lang w:val="fr-BE"/>
        </w:rPr>
        <w:t xml:space="preserve"> </w:t>
      </w:r>
      <w:r w:rsidRPr="00E30870">
        <w:rPr>
          <w:rFonts w:asciiTheme="majorBidi" w:hAnsiTheme="majorBidi" w:cstheme="majorBidi"/>
          <w:color w:val="000000" w:themeColor="text1"/>
          <w:sz w:val="24"/>
          <w:szCs w:val="24"/>
        </w:rPr>
        <w:t xml:space="preserve">Il a été récemment démontré que </w:t>
      </w:r>
      <w:r w:rsidR="008865D7" w:rsidRPr="00E30870">
        <w:rPr>
          <w:rFonts w:asciiTheme="majorBidi" w:hAnsiTheme="majorBidi" w:cstheme="majorBidi"/>
          <w:color w:val="000000" w:themeColor="text1"/>
          <w:sz w:val="24"/>
          <w:szCs w:val="24"/>
        </w:rPr>
        <w:t>l</w:t>
      </w:r>
      <w:r w:rsidRPr="00E30870">
        <w:rPr>
          <w:rFonts w:asciiTheme="majorBidi" w:hAnsiTheme="majorBidi" w:cstheme="majorBidi"/>
          <w:color w:val="000000" w:themeColor="text1"/>
          <w:sz w:val="24"/>
          <w:szCs w:val="24"/>
        </w:rPr>
        <w:t xml:space="preserve">es </w:t>
      </w:r>
      <w:proofErr w:type="spellStart"/>
      <w:r w:rsidR="003D5CD9" w:rsidRPr="00E30870">
        <w:rPr>
          <w:rFonts w:asciiTheme="majorBidi" w:hAnsiTheme="majorBidi" w:cstheme="majorBidi"/>
          <w:color w:val="000000" w:themeColor="text1"/>
          <w:sz w:val="24"/>
          <w:szCs w:val="24"/>
        </w:rPr>
        <w:t>surfactines</w:t>
      </w:r>
      <w:proofErr w:type="spellEnd"/>
      <w:r w:rsidR="003D5CD9" w:rsidRPr="00E30870">
        <w:rPr>
          <w:rFonts w:asciiTheme="majorBidi" w:hAnsiTheme="majorBidi" w:cstheme="majorBidi"/>
          <w:color w:val="000000" w:themeColor="text1"/>
          <w:sz w:val="24"/>
          <w:szCs w:val="24"/>
        </w:rPr>
        <w:t xml:space="preserve"> et les </w:t>
      </w:r>
      <w:proofErr w:type="spellStart"/>
      <w:r w:rsidR="003D5CD9" w:rsidRPr="00E30870">
        <w:rPr>
          <w:rFonts w:asciiTheme="majorBidi" w:hAnsiTheme="majorBidi" w:cstheme="majorBidi"/>
          <w:color w:val="000000" w:themeColor="text1"/>
          <w:sz w:val="24"/>
          <w:szCs w:val="24"/>
        </w:rPr>
        <w:t>mycosubtilines</w:t>
      </w:r>
      <w:proofErr w:type="spellEnd"/>
      <w:r w:rsidRPr="00E30870">
        <w:rPr>
          <w:rFonts w:asciiTheme="majorBidi" w:hAnsiTheme="majorBidi" w:cstheme="majorBidi"/>
          <w:color w:val="000000" w:themeColor="text1"/>
          <w:sz w:val="24"/>
          <w:szCs w:val="24"/>
        </w:rPr>
        <w:t xml:space="preserve"> fonctionnent </w:t>
      </w:r>
      <w:r w:rsidRPr="00E30870">
        <w:rPr>
          <w:rStyle w:val="hps"/>
          <w:rFonts w:asciiTheme="majorBidi" w:hAnsiTheme="majorBidi" w:cstheme="majorBidi"/>
          <w:color w:val="000000" w:themeColor="text1"/>
          <w:sz w:val="24"/>
          <w:szCs w:val="24"/>
        </w:rPr>
        <w:t>comme des</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agents mouillants</w:t>
      </w:r>
      <w:r w:rsidRPr="00E30870">
        <w:rPr>
          <w:rFonts w:asciiTheme="majorBidi" w:hAnsiTheme="majorBidi" w:cstheme="majorBidi"/>
          <w:color w:val="000000" w:themeColor="text1"/>
          <w:sz w:val="24"/>
          <w:szCs w:val="24"/>
        </w:rPr>
        <w:t xml:space="preserve">, en réduisant </w:t>
      </w:r>
      <w:r w:rsidRPr="00E30870">
        <w:rPr>
          <w:rStyle w:val="hps"/>
          <w:rFonts w:asciiTheme="majorBidi" w:hAnsiTheme="majorBidi" w:cstheme="majorBidi"/>
          <w:color w:val="000000" w:themeColor="text1"/>
          <w:sz w:val="24"/>
          <w:szCs w:val="24"/>
        </w:rPr>
        <w:t>la tension de surface</w:t>
      </w:r>
      <w:r w:rsidRPr="00E30870">
        <w:rPr>
          <w:rFonts w:asciiTheme="majorBidi" w:hAnsiTheme="majorBidi" w:cstheme="majorBidi"/>
          <w:color w:val="000000" w:themeColor="text1"/>
          <w:sz w:val="24"/>
          <w:szCs w:val="24"/>
        </w:rPr>
        <w:t xml:space="preserve"> </w:t>
      </w:r>
      <w:r w:rsidRPr="00E30870">
        <w:rPr>
          <w:rStyle w:val="hps"/>
          <w:rFonts w:asciiTheme="majorBidi" w:hAnsiTheme="majorBidi" w:cstheme="majorBidi"/>
          <w:color w:val="000000" w:themeColor="text1"/>
          <w:sz w:val="24"/>
          <w:szCs w:val="24"/>
        </w:rPr>
        <w:t>(</w:t>
      </w:r>
      <w:proofErr w:type="spellStart"/>
      <w:r w:rsidRPr="00E30870">
        <w:rPr>
          <w:rFonts w:asciiTheme="majorBidi" w:hAnsiTheme="majorBidi" w:cstheme="majorBidi"/>
          <w:color w:val="000000" w:themeColor="text1"/>
          <w:sz w:val="24"/>
          <w:szCs w:val="24"/>
        </w:rPr>
        <w:t>Leclere</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proofErr w:type="gramEnd"/>
      <w:r w:rsidRPr="00E30870">
        <w:rPr>
          <w:rFonts w:asciiTheme="majorBidi" w:hAnsiTheme="majorBidi" w:cstheme="majorBidi"/>
          <w:color w:val="000000" w:themeColor="text1"/>
          <w:sz w:val="24"/>
          <w:szCs w:val="24"/>
        </w:rPr>
        <w:t xml:space="preserve"> 2006).</w:t>
      </w:r>
    </w:p>
    <w:p w:rsidR="00534C26" w:rsidRPr="00E30870" w:rsidRDefault="002D490C" w:rsidP="002D490C">
      <w:pPr>
        <w:autoSpaceDE w:val="0"/>
        <w:autoSpaceDN w:val="0"/>
        <w:adjustRightInd w:val="0"/>
        <w:spacing w:after="0" w:line="360" w:lineRule="auto"/>
        <w:jc w:val="both"/>
        <w:rPr>
          <w:rFonts w:asciiTheme="majorBidi" w:hAnsiTheme="majorBidi" w:cstheme="majorBidi"/>
          <w:i/>
          <w:iCs/>
          <w:color w:val="000000" w:themeColor="text1"/>
        </w:rPr>
      </w:pPr>
      <w:r w:rsidRPr="00E30870">
        <w:rPr>
          <w:rFonts w:asciiTheme="majorBidi" w:hAnsiTheme="majorBidi" w:cstheme="majorBidi"/>
          <w:i/>
          <w:iCs/>
          <w:color w:val="000000" w:themeColor="text1"/>
          <w:sz w:val="24"/>
          <w:szCs w:val="24"/>
        </w:rPr>
        <w:t xml:space="preserve">2.8.2.2- </w:t>
      </w:r>
      <w:r w:rsidR="00534C26" w:rsidRPr="00E30870">
        <w:rPr>
          <w:rFonts w:asciiTheme="majorBidi" w:hAnsiTheme="majorBidi" w:cstheme="majorBidi"/>
          <w:i/>
          <w:iCs/>
          <w:color w:val="000000" w:themeColor="text1"/>
          <w:sz w:val="24"/>
          <w:szCs w:val="24"/>
        </w:rPr>
        <w:t>Antagonisme</w:t>
      </w: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 xml:space="preserve">Les activités antimicrobiennes des trois familles de lipopeptides ont été largement mises en évidence </w:t>
      </w:r>
      <w:r w:rsidRPr="00E30870">
        <w:rPr>
          <w:rFonts w:asciiTheme="majorBidi" w:hAnsiTheme="majorBidi" w:cstheme="majorBidi"/>
          <w:i/>
          <w:iCs/>
          <w:color w:val="000000" w:themeColor="text1"/>
          <w:sz w:val="24"/>
          <w:szCs w:val="24"/>
        </w:rPr>
        <w:t xml:space="preserve">in vitro. </w:t>
      </w:r>
      <w:r w:rsidRPr="00E30870">
        <w:rPr>
          <w:rFonts w:asciiTheme="majorBidi" w:hAnsiTheme="majorBidi" w:cstheme="majorBidi"/>
          <w:color w:val="000000" w:themeColor="text1"/>
          <w:sz w:val="24"/>
          <w:szCs w:val="24"/>
        </w:rPr>
        <w:t>En revanche, peu d’études associent le biocontrôle à la production</w:t>
      </w:r>
      <w:r w:rsidRPr="00E30870">
        <w:rPr>
          <w:rFonts w:asciiTheme="majorBidi" w:hAnsiTheme="majorBidi" w:cstheme="majorBidi"/>
          <w:i/>
          <w:iCs/>
          <w:color w:val="000000" w:themeColor="text1"/>
          <w:sz w:val="24"/>
          <w:szCs w:val="24"/>
        </w:rPr>
        <w:t xml:space="preserve"> in planta </w:t>
      </w:r>
      <w:r w:rsidRPr="00E30870">
        <w:rPr>
          <w:rFonts w:asciiTheme="majorBidi" w:hAnsiTheme="majorBidi" w:cstheme="majorBidi"/>
          <w:color w:val="000000" w:themeColor="text1"/>
          <w:sz w:val="24"/>
          <w:szCs w:val="24"/>
        </w:rPr>
        <w:t>des lipopeptides</w:t>
      </w:r>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L‘iturine A produite par</w:t>
      </w:r>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le</w:t>
      </w:r>
      <w:r w:rsidRPr="00E30870">
        <w:rPr>
          <w:rFonts w:asciiTheme="majorBidi" w:hAnsiTheme="majorBidi" w:cstheme="majorBidi"/>
          <w:i/>
          <w:iCs/>
          <w:color w:val="000000" w:themeColor="text1"/>
          <w:sz w:val="24"/>
          <w:szCs w:val="24"/>
        </w:rPr>
        <w:t xml:space="preserve"> B. subtilis </w:t>
      </w:r>
      <w:r w:rsidRPr="00E30870">
        <w:rPr>
          <w:rFonts w:asciiTheme="majorBidi" w:hAnsiTheme="majorBidi" w:cstheme="majorBidi"/>
          <w:color w:val="000000" w:themeColor="text1"/>
          <w:sz w:val="24"/>
          <w:szCs w:val="24"/>
        </w:rPr>
        <w:t xml:space="preserve">RB14 augmente le taux de germination des plantes de tomates et les protégeait contre le pathogène racinaire </w:t>
      </w:r>
      <w:proofErr w:type="spellStart"/>
      <w:r w:rsidRPr="00E30870">
        <w:rPr>
          <w:rFonts w:asciiTheme="majorBidi" w:hAnsiTheme="majorBidi" w:cstheme="majorBidi"/>
          <w:i/>
          <w:iCs/>
          <w:color w:val="000000" w:themeColor="text1"/>
          <w:sz w:val="24"/>
          <w:szCs w:val="24"/>
        </w:rPr>
        <w:t>Rhizoctonia</w:t>
      </w:r>
      <w:proofErr w:type="spellEnd"/>
      <w:r w:rsidRPr="00E30870">
        <w:rPr>
          <w:rFonts w:asciiTheme="majorBidi" w:hAnsiTheme="majorBidi" w:cstheme="majorBidi"/>
          <w:i/>
          <w:iCs/>
          <w:color w:val="000000" w:themeColor="text1"/>
          <w:sz w:val="24"/>
          <w:szCs w:val="24"/>
        </w:rPr>
        <w:t xml:space="preserve"> </w:t>
      </w:r>
      <w:proofErr w:type="spellStart"/>
      <w:r w:rsidRPr="00E30870">
        <w:rPr>
          <w:rFonts w:asciiTheme="majorBidi" w:hAnsiTheme="majorBidi" w:cstheme="majorBidi"/>
          <w:i/>
          <w:iCs/>
          <w:color w:val="000000" w:themeColor="text1"/>
          <w:sz w:val="24"/>
          <w:szCs w:val="24"/>
        </w:rPr>
        <w:t>solani</w:t>
      </w:r>
      <w:proofErr w:type="spellEnd"/>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w:t>
      </w:r>
      <w:proofErr w:type="spellStart"/>
      <w:r w:rsidRPr="00E30870">
        <w:rPr>
          <w:rFonts w:asciiTheme="majorBidi" w:hAnsiTheme="majorBidi" w:cstheme="majorBidi"/>
          <w:color w:val="000000" w:themeColor="text1"/>
          <w:sz w:val="24"/>
          <w:szCs w:val="24"/>
        </w:rPr>
        <w:t>Asaka</w:t>
      </w:r>
      <w:proofErr w:type="spellEnd"/>
      <w:r w:rsidRPr="00E30870">
        <w:rPr>
          <w:rFonts w:asciiTheme="majorBidi" w:hAnsiTheme="majorBidi" w:cstheme="majorBidi"/>
          <w:color w:val="000000" w:themeColor="text1"/>
          <w:sz w:val="24"/>
          <w:szCs w:val="24"/>
        </w:rPr>
        <w:t xml:space="preserve"> et </w:t>
      </w:r>
      <w:proofErr w:type="spellStart"/>
      <w:r w:rsidRPr="00E30870">
        <w:rPr>
          <w:rFonts w:asciiTheme="majorBidi" w:hAnsiTheme="majorBidi" w:cstheme="majorBidi"/>
          <w:color w:val="000000" w:themeColor="text1"/>
          <w:sz w:val="24"/>
          <w:szCs w:val="24"/>
        </w:rPr>
        <w:t>Shoda</w:t>
      </w:r>
      <w:proofErr w:type="spellEnd"/>
      <w:r w:rsidRPr="00E30870">
        <w:rPr>
          <w:rFonts w:asciiTheme="majorBidi" w:hAnsiTheme="majorBidi" w:cstheme="majorBidi"/>
          <w:color w:val="000000" w:themeColor="text1"/>
          <w:sz w:val="24"/>
          <w:szCs w:val="24"/>
        </w:rPr>
        <w:t xml:space="preserve">, 1996). La surproduction de la </w:t>
      </w:r>
      <w:proofErr w:type="spellStart"/>
      <w:r w:rsidRPr="00E30870">
        <w:rPr>
          <w:rFonts w:asciiTheme="majorBidi" w:hAnsiTheme="majorBidi" w:cstheme="majorBidi"/>
          <w:color w:val="000000" w:themeColor="text1"/>
          <w:sz w:val="24"/>
          <w:szCs w:val="24"/>
        </w:rPr>
        <w:t>mycosubtiline</w:t>
      </w:r>
      <w:proofErr w:type="spellEnd"/>
      <w:r w:rsidRPr="00E30870">
        <w:rPr>
          <w:rFonts w:asciiTheme="majorBidi" w:hAnsiTheme="majorBidi" w:cstheme="majorBidi"/>
          <w:color w:val="000000" w:themeColor="text1"/>
          <w:sz w:val="24"/>
          <w:szCs w:val="24"/>
        </w:rPr>
        <w:t xml:space="preserve"> par le </w:t>
      </w:r>
      <w:r w:rsidRPr="00E30870">
        <w:rPr>
          <w:rFonts w:asciiTheme="majorBidi" w:hAnsiTheme="majorBidi" w:cstheme="majorBidi"/>
          <w:i/>
          <w:iCs/>
          <w:color w:val="000000" w:themeColor="text1"/>
          <w:sz w:val="24"/>
          <w:szCs w:val="24"/>
        </w:rPr>
        <w:t xml:space="preserve">B. subtilis </w:t>
      </w:r>
      <w:r w:rsidRPr="00E30870">
        <w:rPr>
          <w:rFonts w:asciiTheme="majorBidi" w:hAnsiTheme="majorBidi" w:cstheme="majorBidi"/>
          <w:color w:val="000000" w:themeColor="text1"/>
          <w:sz w:val="24"/>
          <w:szCs w:val="24"/>
        </w:rPr>
        <w:t>ATCC 6633 a aussi conduit à une réduction de l’infection des plantules</w:t>
      </w:r>
      <w:r w:rsidR="00A21369" w:rsidRPr="00E30870">
        <w:rPr>
          <w:rFonts w:asciiTheme="majorBidi" w:hAnsiTheme="majorBidi" w:cstheme="majorBidi"/>
          <w:color w:val="000000" w:themeColor="text1"/>
          <w:sz w:val="24"/>
          <w:szCs w:val="24"/>
        </w:rPr>
        <w:t xml:space="preserve"> de tomate</w:t>
      </w:r>
      <w:r w:rsidRPr="00E30870">
        <w:rPr>
          <w:rFonts w:asciiTheme="majorBidi" w:hAnsiTheme="majorBidi" w:cstheme="majorBidi"/>
          <w:color w:val="000000" w:themeColor="text1"/>
          <w:sz w:val="24"/>
          <w:szCs w:val="24"/>
        </w:rPr>
        <w:t xml:space="preserve"> par </w:t>
      </w:r>
      <w:proofErr w:type="spellStart"/>
      <w:r w:rsidRPr="00E30870">
        <w:rPr>
          <w:rFonts w:asciiTheme="majorBidi" w:hAnsiTheme="majorBidi" w:cstheme="majorBidi"/>
          <w:i/>
          <w:iCs/>
          <w:color w:val="000000" w:themeColor="text1"/>
          <w:sz w:val="24"/>
          <w:szCs w:val="24"/>
        </w:rPr>
        <w:t>Pythium</w:t>
      </w:r>
      <w:proofErr w:type="spellEnd"/>
      <w:r w:rsidRPr="00E30870">
        <w:rPr>
          <w:rFonts w:asciiTheme="majorBidi" w:hAnsiTheme="majorBidi" w:cstheme="majorBidi"/>
          <w:i/>
          <w:iCs/>
          <w:color w:val="000000" w:themeColor="text1"/>
          <w:sz w:val="24"/>
          <w:szCs w:val="24"/>
        </w:rPr>
        <w:t xml:space="preserve"> </w:t>
      </w:r>
      <w:proofErr w:type="spellStart"/>
      <w:r w:rsidRPr="00E30870">
        <w:rPr>
          <w:rFonts w:asciiTheme="majorBidi" w:hAnsiTheme="majorBidi" w:cstheme="majorBidi"/>
          <w:i/>
          <w:iCs/>
          <w:color w:val="000000" w:themeColor="text1"/>
          <w:sz w:val="24"/>
          <w:szCs w:val="24"/>
        </w:rPr>
        <w:t>aphanidermatum</w:t>
      </w:r>
      <w:proofErr w:type="spellEnd"/>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w:t>
      </w:r>
      <w:proofErr w:type="spellStart"/>
      <w:r w:rsidRPr="00E30870">
        <w:rPr>
          <w:rFonts w:asciiTheme="majorBidi" w:hAnsiTheme="majorBidi" w:cstheme="majorBidi"/>
          <w:color w:val="000000" w:themeColor="text1"/>
          <w:sz w:val="24"/>
          <w:szCs w:val="24"/>
        </w:rPr>
        <w:t>Leclère</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r w:rsidRPr="00E30870">
        <w:rPr>
          <w:rFonts w:asciiTheme="majorBidi" w:hAnsiTheme="majorBidi" w:cstheme="majorBidi"/>
          <w:color w:val="000000" w:themeColor="text1"/>
          <w:sz w:val="24"/>
          <w:szCs w:val="24"/>
        </w:rPr>
        <w:t>.,</w:t>
      </w:r>
      <w:proofErr w:type="gramEnd"/>
      <w:r w:rsidRPr="00E30870">
        <w:rPr>
          <w:rFonts w:asciiTheme="majorBidi" w:hAnsiTheme="majorBidi" w:cstheme="majorBidi"/>
          <w:color w:val="000000" w:themeColor="text1"/>
          <w:sz w:val="24"/>
          <w:szCs w:val="24"/>
        </w:rPr>
        <w:t xml:space="preserve"> 2005). La contribution des iturines et des fengycines dans le contrôle de la phyllosphère du melon infecté par </w:t>
      </w:r>
      <w:proofErr w:type="spellStart"/>
      <w:r w:rsidRPr="00E30870">
        <w:rPr>
          <w:rFonts w:asciiTheme="majorBidi" w:hAnsiTheme="majorBidi" w:cstheme="majorBidi"/>
          <w:i/>
          <w:iCs/>
          <w:color w:val="000000" w:themeColor="text1"/>
          <w:sz w:val="24"/>
          <w:szCs w:val="24"/>
        </w:rPr>
        <w:t>Podosphaera</w:t>
      </w:r>
      <w:proofErr w:type="spellEnd"/>
      <w:r w:rsidRPr="00E30870">
        <w:rPr>
          <w:rFonts w:asciiTheme="majorBidi" w:hAnsiTheme="majorBidi" w:cstheme="majorBidi"/>
          <w:i/>
          <w:iCs/>
          <w:color w:val="000000" w:themeColor="text1"/>
          <w:sz w:val="24"/>
          <w:szCs w:val="24"/>
        </w:rPr>
        <w:t xml:space="preserve"> </w:t>
      </w:r>
      <w:proofErr w:type="spellStart"/>
      <w:r w:rsidRPr="00E30870">
        <w:rPr>
          <w:rFonts w:asciiTheme="majorBidi" w:hAnsiTheme="majorBidi" w:cstheme="majorBidi"/>
          <w:i/>
          <w:iCs/>
          <w:color w:val="000000" w:themeColor="text1"/>
          <w:sz w:val="24"/>
          <w:szCs w:val="24"/>
        </w:rPr>
        <w:t>fusca</w:t>
      </w:r>
      <w:proofErr w:type="spellEnd"/>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 xml:space="preserve">a été mise en évidence par la récupération de ces </w:t>
      </w:r>
      <w:proofErr w:type="spellStart"/>
      <w:r w:rsidRPr="00E30870">
        <w:rPr>
          <w:rFonts w:asciiTheme="majorBidi" w:hAnsiTheme="majorBidi" w:cstheme="majorBidi"/>
          <w:color w:val="000000" w:themeColor="text1"/>
          <w:sz w:val="24"/>
          <w:szCs w:val="24"/>
        </w:rPr>
        <w:t>LPs</w:t>
      </w:r>
      <w:proofErr w:type="spellEnd"/>
      <w:r w:rsidRPr="00E30870">
        <w:rPr>
          <w:rFonts w:asciiTheme="majorBidi" w:hAnsiTheme="majorBidi" w:cstheme="majorBidi"/>
          <w:color w:val="000000" w:themeColor="text1"/>
          <w:sz w:val="24"/>
          <w:szCs w:val="24"/>
        </w:rPr>
        <w:t xml:space="preserve"> des feuilles traitées</w:t>
      </w:r>
      <w:r w:rsidR="00A21369" w:rsidRPr="00E30870">
        <w:rPr>
          <w:rFonts w:asciiTheme="majorBidi" w:hAnsiTheme="majorBidi" w:cstheme="majorBidi"/>
          <w:color w:val="000000" w:themeColor="text1"/>
          <w:sz w:val="24"/>
          <w:szCs w:val="24"/>
        </w:rPr>
        <w:t xml:space="preserve"> et en utilisant la technique «LP </w:t>
      </w:r>
      <w:proofErr w:type="spellStart"/>
      <w:r w:rsidR="00A21369" w:rsidRPr="00E30870">
        <w:rPr>
          <w:rFonts w:asciiTheme="majorBidi" w:hAnsiTheme="majorBidi" w:cstheme="majorBidi"/>
          <w:color w:val="000000" w:themeColor="text1"/>
          <w:sz w:val="24"/>
          <w:szCs w:val="24"/>
        </w:rPr>
        <w:t>deficient</w:t>
      </w:r>
      <w:proofErr w:type="spellEnd"/>
      <w:r w:rsidR="00A21369" w:rsidRPr="00E30870">
        <w:rPr>
          <w:rFonts w:asciiTheme="majorBidi" w:hAnsiTheme="majorBidi" w:cstheme="majorBidi"/>
          <w:color w:val="000000" w:themeColor="text1"/>
          <w:sz w:val="24"/>
          <w:szCs w:val="24"/>
        </w:rPr>
        <w:t xml:space="preserve"> transformant</w:t>
      </w:r>
      <w:r w:rsidRPr="00E30870">
        <w:rPr>
          <w:rFonts w:asciiTheme="majorBidi" w:hAnsiTheme="majorBidi" w:cstheme="majorBidi"/>
          <w:color w:val="000000" w:themeColor="text1"/>
          <w:sz w:val="24"/>
          <w:szCs w:val="24"/>
        </w:rPr>
        <w:t xml:space="preserve">» (Romero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r w:rsidRPr="00E30870">
        <w:rPr>
          <w:rFonts w:asciiTheme="majorBidi" w:hAnsiTheme="majorBidi" w:cstheme="majorBidi"/>
          <w:color w:val="000000" w:themeColor="text1"/>
          <w:sz w:val="24"/>
          <w:szCs w:val="24"/>
        </w:rPr>
        <w:t>.,</w:t>
      </w:r>
      <w:proofErr w:type="gramEnd"/>
      <w:r w:rsidRPr="00E30870">
        <w:rPr>
          <w:rFonts w:asciiTheme="majorBidi" w:hAnsiTheme="majorBidi" w:cstheme="majorBidi"/>
          <w:color w:val="000000" w:themeColor="text1"/>
          <w:sz w:val="24"/>
          <w:szCs w:val="24"/>
        </w:rPr>
        <w:t xml:space="preserve"> 2007).</w:t>
      </w:r>
      <w:r w:rsidRPr="00E30870">
        <w:rPr>
          <w:rFonts w:asciiTheme="majorBidi" w:hAnsiTheme="majorBidi" w:cstheme="majorBidi"/>
          <w:i/>
          <w:iCs/>
          <w:color w:val="000000" w:themeColor="text1"/>
          <w:sz w:val="24"/>
          <w:szCs w:val="24"/>
        </w:rPr>
        <w:t xml:space="preserve"> </w:t>
      </w:r>
      <w:proofErr w:type="spellStart"/>
      <w:r w:rsidRPr="00E30870">
        <w:rPr>
          <w:rFonts w:asciiTheme="majorBidi" w:hAnsiTheme="majorBidi" w:cstheme="majorBidi"/>
          <w:color w:val="000000" w:themeColor="text1"/>
          <w:sz w:val="24"/>
          <w:szCs w:val="24"/>
        </w:rPr>
        <w:t>Preecha</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et al.</w:t>
      </w:r>
      <w:r w:rsidRPr="00E30870">
        <w:rPr>
          <w:rFonts w:asciiTheme="majorBidi" w:hAnsiTheme="majorBidi" w:cstheme="majorBidi"/>
          <w:color w:val="000000" w:themeColor="text1"/>
          <w:sz w:val="24"/>
          <w:szCs w:val="24"/>
        </w:rPr>
        <w:t xml:space="preserve"> (2010) ont démontré que la réduction de la sévérité de la maladie des plantes de soja causé par les </w:t>
      </w:r>
      <w:proofErr w:type="spellStart"/>
      <w:r w:rsidRPr="00E30870">
        <w:rPr>
          <w:rFonts w:asciiTheme="majorBidi" w:hAnsiTheme="majorBidi" w:cstheme="majorBidi"/>
          <w:i/>
          <w:iCs/>
          <w:color w:val="000000" w:themeColor="text1"/>
          <w:sz w:val="24"/>
          <w:szCs w:val="24"/>
        </w:rPr>
        <w:t>Xanthomonas</w:t>
      </w:r>
      <w:proofErr w:type="spellEnd"/>
      <w:r w:rsidRPr="00E30870">
        <w:rPr>
          <w:rFonts w:asciiTheme="majorBidi" w:hAnsiTheme="majorBidi" w:cstheme="majorBidi"/>
          <w:i/>
          <w:iCs/>
          <w:color w:val="000000" w:themeColor="text1"/>
          <w:sz w:val="24"/>
          <w:szCs w:val="24"/>
        </w:rPr>
        <w:t xml:space="preserve"> </w:t>
      </w:r>
      <w:proofErr w:type="spellStart"/>
      <w:r w:rsidRPr="00E30870">
        <w:rPr>
          <w:rFonts w:asciiTheme="majorBidi" w:hAnsiTheme="majorBidi" w:cstheme="majorBidi"/>
          <w:i/>
          <w:iCs/>
          <w:color w:val="000000" w:themeColor="text1"/>
          <w:sz w:val="24"/>
          <w:szCs w:val="24"/>
        </w:rPr>
        <w:t>axonopodis</w:t>
      </w:r>
      <w:proofErr w:type="spellEnd"/>
      <w:r w:rsidRPr="00E30870">
        <w:rPr>
          <w:rFonts w:asciiTheme="majorBidi" w:hAnsiTheme="majorBidi" w:cstheme="majorBidi"/>
          <w:i/>
          <w:iCs/>
          <w:color w:val="000000" w:themeColor="text1"/>
          <w:sz w:val="24"/>
          <w:szCs w:val="24"/>
        </w:rPr>
        <w:t xml:space="preserve"> </w:t>
      </w:r>
      <w:proofErr w:type="spellStart"/>
      <w:r w:rsidRPr="00E30870">
        <w:rPr>
          <w:rFonts w:asciiTheme="majorBidi" w:hAnsiTheme="majorBidi" w:cstheme="majorBidi"/>
          <w:color w:val="000000" w:themeColor="text1"/>
          <w:sz w:val="24"/>
          <w:szCs w:val="24"/>
        </w:rPr>
        <w:t>pv</w:t>
      </w:r>
      <w:proofErr w:type="spellEnd"/>
      <w:r w:rsidRPr="00E30870">
        <w:rPr>
          <w:rFonts w:asciiTheme="majorBidi" w:hAnsiTheme="majorBidi" w:cstheme="majorBidi"/>
          <w:color w:val="000000" w:themeColor="text1"/>
          <w:sz w:val="24"/>
          <w:szCs w:val="24"/>
        </w:rPr>
        <w:t xml:space="preserve">. </w:t>
      </w:r>
      <w:proofErr w:type="gramStart"/>
      <w:r w:rsidRPr="00E30870">
        <w:rPr>
          <w:rFonts w:asciiTheme="majorBidi" w:hAnsiTheme="majorBidi" w:cstheme="majorBidi"/>
          <w:i/>
          <w:iCs/>
          <w:color w:val="000000" w:themeColor="text1"/>
          <w:sz w:val="24"/>
          <w:szCs w:val="24"/>
        </w:rPr>
        <w:t>glycines</w:t>
      </w:r>
      <w:proofErr w:type="gramEnd"/>
      <w:r w:rsidRPr="00E30870">
        <w:rPr>
          <w:rFonts w:asciiTheme="majorBidi" w:hAnsiTheme="majorBidi" w:cstheme="majorBidi"/>
          <w:i/>
          <w:iCs/>
          <w:color w:val="000000" w:themeColor="text1"/>
          <w:sz w:val="24"/>
          <w:szCs w:val="24"/>
        </w:rPr>
        <w:t xml:space="preserve"> (</w:t>
      </w:r>
      <w:r w:rsidRPr="00E30870">
        <w:rPr>
          <w:rFonts w:asciiTheme="majorBidi" w:hAnsiTheme="majorBidi" w:cstheme="majorBidi"/>
          <w:color w:val="000000" w:themeColor="text1"/>
          <w:sz w:val="24"/>
          <w:szCs w:val="24"/>
        </w:rPr>
        <w:t xml:space="preserve">KU-K-46012) est due aux surfactines produites par le </w:t>
      </w:r>
      <w:r w:rsidRPr="00E30870">
        <w:rPr>
          <w:rFonts w:asciiTheme="majorBidi" w:hAnsiTheme="majorBidi" w:cstheme="majorBidi"/>
          <w:i/>
          <w:iCs/>
          <w:color w:val="000000" w:themeColor="text1"/>
          <w:sz w:val="24"/>
          <w:szCs w:val="24"/>
        </w:rPr>
        <w:t xml:space="preserve">B. amyloliquefaciens </w:t>
      </w:r>
      <w:r w:rsidR="009F38CD" w:rsidRPr="00E30870">
        <w:rPr>
          <w:rFonts w:asciiTheme="majorBidi" w:hAnsiTheme="majorBidi" w:cstheme="majorBidi"/>
          <w:color w:val="000000" w:themeColor="text1"/>
          <w:sz w:val="24"/>
          <w:szCs w:val="24"/>
        </w:rPr>
        <w:t>(KPS46).</w:t>
      </w:r>
      <w:r w:rsidRPr="00E30870">
        <w:rPr>
          <w:rFonts w:asciiTheme="majorBidi" w:hAnsiTheme="majorBidi" w:cstheme="majorBidi"/>
          <w:color w:val="000000" w:themeColor="text1"/>
          <w:sz w:val="24"/>
          <w:szCs w:val="24"/>
        </w:rPr>
        <w:t>Le</w:t>
      </w:r>
      <w:r w:rsidRPr="00E30870">
        <w:rPr>
          <w:rFonts w:asciiTheme="majorBidi" w:hAnsiTheme="majorBidi" w:cstheme="majorBidi"/>
          <w:i/>
          <w:iCs/>
          <w:color w:val="000000" w:themeColor="text1"/>
          <w:sz w:val="24"/>
          <w:szCs w:val="24"/>
        </w:rPr>
        <w:t xml:space="preserve"> Bacillus subtilis </w:t>
      </w:r>
      <w:r w:rsidRPr="00E30870">
        <w:rPr>
          <w:rFonts w:asciiTheme="majorBidi" w:hAnsiTheme="majorBidi" w:cstheme="majorBidi"/>
          <w:color w:val="000000" w:themeColor="text1"/>
          <w:sz w:val="24"/>
          <w:szCs w:val="24"/>
        </w:rPr>
        <w:t xml:space="preserve">GA1 qui produit de quantités importantes de lipopeptides et plusieurs homologues de fengycines protège les fruits de pomme contre </w:t>
      </w:r>
      <w:r w:rsidRPr="00E30870">
        <w:rPr>
          <w:rFonts w:asciiTheme="majorBidi" w:hAnsiTheme="majorBidi" w:cstheme="majorBidi"/>
          <w:i/>
          <w:iCs/>
          <w:color w:val="000000" w:themeColor="text1"/>
          <w:sz w:val="24"/>
          <w:szCs w:val="24"/>
        </w:rPr>
        <w:t xml:space="preserve">Botrytis </w:t>
      </w:r>
      <w:proofErr w:type="spellStart"/>
      <w:r w:rsidRPr="00E30870">
        <w:rPr>
          <w:rFonts w:asciiTheme="majorBidi" w:hAnsiTheme="majorBidi" w:cstheme="majorBidi"/>
          <w:i/>
          <w:iCs/>
          <w:color w:val="000000" w:themeColor="text1"/>
          <w:sz w:val="24"/>
          <w:szCs w:val="24"/>
        </w:rPr>
        <w:t>cinerea</w:t>
      </w:r>
      <w:proofErr w:type="spellEnd"/>
      <w:r w:rsidRPr="00E30870">
        <w:rPr>
          <w:rFonts w:asciiTheme="majorBidi" w:hAnsiTheme="majorBidi" w:cstheme="majorBidi"/>
          <w:color w:val="000000" w:themeColor="text1"/>
          <w:sz w:val="24"/>
          <w:szCs w:val="24"/>
        </w:rPr>
        <w:t xml:space="preserve">. Le rôle des fengycines a été démontré par traitement des fruits par des extraits enrichis et par récupération de ce lipopeptide, des zones d’inhibitions sur les fruits traités (Touré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r w:rsidRPr="00E30870">
        <w:rPr>
          <w:rFonts w:asciiTheme="majorBidi" w:hAnsiTheme="majorBidi" w:cstheme="majorBidi"/>
          <w:color w:val="000000" w:themeColor="text1"/>
          <w:sz w:val="24"/>
          <w:szCs w:val="24"/>
        </w:rPr>
        <w:t>.,</w:t>
      </w:r>
      <w:proofErr w:type="gramEnd"/>
      <w:r w:rsidRPr="00E30870">
        <w:rPr>
          <w:rFonts w:asciiTheme="majorBidi" w:hAnsiTheme="majorBidi" w:cstheme="majorBidi"/>
          <w:color w:val="000000" w:themeColor="text1"/>
          <w:sz w:val="24"/>
          <w:szCs w:val="24"/>
        </w:rPr>
        <w:t xml:space="preserve"> 2004). </w:t>
      </w:r>
    </w:p>
    <w:p w:rsidR="00534C26" w:rsidRPr="00E30870" w:rsidRDefault="002D490C" w:rsidP="00D26EAB">
      <w:pPr>
        <w:autoSpaceDE w:val="0"/>
        <w:autoSpaceDN w:val="0"/>
        <w:adjustRightInd w:val="0"/>
        <w:spacing w:after="0" w:line="360" w:lineRule="auto"/>
        <w:jc w:val="both"/>
        <w:rPr>
          <w:rFonts w:asciiTheme="majorBidi" w:hAnsiTheme="majorBidi" w:cstheme="majorBidi"/>
          <w:i/>
          <w:iCs/>
          <w:color w:val="000000" w:themeColor="text1"/>
          <w:sz w:val="28"/>
          <w:szCs w:val="28"/>
        </w:rPr>
      </w:pPr>
      <w:r w:rsidRPr="00E30870">
        <w:rPr>
          <w:rFonts w:asciiTheme="majorBidi" w:hAnsiTheme="majorBidi" w:cstheme="majorBidi"/>
          <w:i/>
          <w:iCs/>
          <w:color w:val="000000" w:themeColor="text1"/>
          <w:sz w:val="24"/>
          <w:szCs w:val="24"/>
        </w:rPr>
        <w:lastRenderedPageBreak/>
        <w:t>2.8.2.</w:t>
      </w:r>
      <w:r w:rsidR="00D26EAB" w:rsidRPr="00E30870">
        <w:rPr>
          <w:rFonts w:asciiTheme="majorBidi" w:hAnsiTheme="majorBidi" w:cstheme="majorBidi"/>
          <w:i/>
          <w:iCs/>
          <w:color w:val="000000" w:themeColor="text1"/>
          <w:sz w:val="24"/>
          <w:szCs w:val="24"/>
        </w:rPr>
        <w:t xml:space="preserve">3- </w:t>
      </w:r>
      <w:r w:rsidR="00534C26" w:rsidRPr="00E30870">
        <w:rPr>
          <w:rFonts w:asciiTheme="majorBidi" w:hAnsiTheme="majorBidi" w:cstheme="majorBidi"/>
          <w:i/>
          <w:iCs/>
          <w:color w:val="000000" w:themeColor="text1"/>
          <w:sz w:val="24"/>
          <w:szCs w:val="24"/>
        </w:rPr>
        <w:t>Induction du système de défense des plantes</w:t>
      </w: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sz w:val="24"/>
          <w:szCs w:val="24"/>
        </w:rPr>
      </w:pPr>
      <w:r w:rsidRPr="00E30870">
        <w:rPr>
          <w:rFonts w:asciiTheme="majorBidi" w:hAnsiTheme="majorBidi" w:cstheme="majorBidi"/>
          <w:color w:val="000000" w:themeColor="text1"/>
          <w:sz w:val="24"/>
          <w:szCs w:val="24"/>
        </w:rPr>
        <w:t xml:space="preserve">L’implication des </w:t>
      </w:r>
      <w:proofErr w:type="spellStart"/>
      <w:r w:rsidRPr="00E30870">
        <w:rPr>
          <w:rFonts w:asciiTheme="majorBidi" w:hAnsiTheme="majorBidi" w:cstheme="majorBidi"/>
          <w:color w:val="000000" w:themeColor="text1"/>
          <w:sz w:val="24"/>
          <w:szCs w:val="24"/>
        </w:rPr>
        <w:t>LPs</w:t>
      </w:r>
      <w:proofErr w:type="spellEnd"/>
      <w:r w:rsidRPr="00E30870">
        <w:rPr>
          <w:rFonts w:asciiTheme="majorBidi" w:hAnsiTheme="majorBidi" w:cstheme="majorBidi"/>
          <w:color w:val="000000" w:themeColor="text1"/>
          <w:sz w:val="24"/>
          <w:szCs w:val="24"/>
        </w:rPr>
        <w:t xml:space="preserve">  dans le phénomène d’ISR a été démontrée sur divers </w:t>
      </w:r>
      <w:proofErr w:type="spellStart"/>
      <w:r w:rsidRPr="00E30870">
        <w:rPr>
          <w:rFonts w:asciiTheme="majorBidi" w:hAnsiTheme="majorBidi" w:cstheme="majorBidi"/>
          <w:color w:val="000000" w:themeColor="text1"/>
          <w:sz w:val="24"/>
          <w:szCs w:val="24"/>
        </w:rPr>
        <w:t>pathosystèmes</w:t>
      </w:r>
      <w:proofErr w:type="spellEnd"/>
      <w:r w:rsidRPr="00E30870">
        <w:rPr>
          <w:rFonts w:asciiTheme="majorBidi" w:hAnsiTheme="majorBidi" w:cstheme="majorBidi"/>
          <w:color w:val="000000" w:themeColor="text1"/>
          <w:sz w:val="24"/>
          <w:szCs w:val="24"/>
        </w:rPr>
        <w:t xml:space="preserve"> grâce à l’utilisation de </w:t>
      </w:r>
      <w:proofErr w:type="spellStart"/>
      <w:r w:rsidRPr="00E30870">
        <w:rPr>
          <w:rFonts w:asciiTheme="majorBidi" w:hAnsiTheme="majorBidi" w:cstheme="majorBidi"/>
          <w:color w:val="000000" w:themeColor="text1"/>
          <w:sz w:val="24"/>
          <w:szCs w:val="24"/>
        </w:rPr>
        <w:t>LPs</w:t>
      </w:r>
      <w:proofErr w:type="spellEnd"/>
      <w:r w:rsidRPr="00E30870">
        <w:rPr>
          <w:rFonts w:asciiTheme="majorBidi" w:hAnsiTheme="majorBidi" w:cstheme="majorBidi"/>
          <w:color w:val="000000" w:themeColor="text1"/>
          <w:sz w:val="24"/>
          <w:szCs w:val="24"/>
        </w:rPr>
        <w:t xml:space="preserve"> purifiés ou via l’utilisation de mutants possédant des motifs antigéniques modifiés.</w:t>
      </w:r>
      <w:r w:rsidR="00A83D0C" w:rsidRPr="00E30870">
        <w:rPr>
          <w:rFonts w:asciiTheme="majorBidi" w:hAnsiTheme="majorBidi" w:cstheme="majorBidi"/>
          <w:color w:val="000000" w:themeColor="text1"/>
          <w:sz w:val="24"/>
          <w:szCs w:val="24"/>
        </w:rPr>
        <w:t xml:space="preserve"> </w:t>
      </w:r>
      <w:r w:rsidRPr="00E30870">
        <w:rPr>
          <w:rFonts w:asciiTheme="majorBidi" w:hAnsiTheme="majorBidi" w:cstheme="majorBidi"/>
          <w:color w:val="000000" w:themeColor="text1"/>
          <w:sz w:val="24"/>
          <w:szCs w:val="24"/>
        </w:rPr>
        <w:t xml:space="preserve">Les surfactines pures et les fengycines à moindre mesure fournissent le même effet d’induction de l’immunité des plantes de soja que celui établit par les cellules de la souche </w:t>
      </w:r>
      <w:r w:rsidRPr="00E30870">
        <w:rPr>
          <w:rFonts w:asciiTheme="majorBidi" w:hAnsiTheme="majorBidi" w:cstheme="majorBidi"/>
          <w:i/>
          <w:iCs/>
          <w:color w:val="000000" w:themeColor="text1"/>
          <w:sz w:val="24"/>
          <w:szCs w:val="24"/>
        </w:rPr>
        <w:t>B.</w:t>
      </w:r>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amyloliquefaciens </w:t>
      </w:r>
      <w:r w:rsidRPr="00E30870">
        <w:rPr>
          <w:rFonts w:asciiTheme="majorBidi" w:hAnsiTheme="majorBidi" w:cstheme="majorBidi"/>
          <w:color w:val="000000" w:themeColor="text1"/>
          <w:sz w:val="24"/>
          <w:szCs w:val="24"/>
        </w:rPr>
        <w:t xml:space="preserve">(S499). Dans une approche complémentaire, la surexpression des gènes de fengycines et de surfactines par le </w:t>
      </w:r>
      <w:r w:rsidRPr="00E30870">
        <w:rPr>
          <w:rFonts w:asciiTheme="majorBidi" w:hAnsiTheme="majorBidi" w:cstheme="majorBidi"/>
          <w:i/>
          <w:iCs/>
          <w:color w:val="000000" w:themeColor="text1"/>
          <w:sz w:val="24"/>
          <w:szCs w:val="24"/>
        </w:rPr>
        <w:t xml:space="preserve">B. subtilis </w:t>
      </w:r>
      <w:r w:rsidRPr="00E30870">
        <w:rPr>
          <w:rFonts w:asciiTheme="majorBidi" w:hAnsiTheme="majorBidi" w:cstheme="majorBidi"/>
          <w:color w:val="000000" w:themeColor="text1"/>
          <w:sz w:val="24"/>
          <w:szCs w:val="24"/>
        </w:rPr>
        <w:t>168 est associé à l’induction d’ISR dans des plantes de tomates et de soja (</w:t>
      </w:r>
      <w:proofErr w:type="spellStart"/>
      <w:r w:rsidRPr="00E30870">
        <w:rPr>
          <w:rFonts w:asciiTheme="majorBidi" w:hAnsiTheme="majorBidi" w:cstheme="majorBidi"/>
          <w:color w:val="000000" w:themeColor="text1"/>
          <w:sz w:val="24"/>
          <w:szCs w:val="24"/>
        </w:rPr>
        <w:t>Ongena</w:t>
      </w:r>
      <w:proofErr w:type="spellEnd"/>
      <w:r w:rsidRPr="00E30870">
        <w:rPr>
          <w:rFonts w:asciiTheme="majorBidi" w:hAnsiTheme="majorBidi" w:cstheme="majorBidi"/>
          <w:color w:val="000000" w:themeColor="text1"/>
          <w:sz w:val="24"/>
          <w:szCs w:val="24"/>
        </w:rPr>
        <w:t xml:space="preserve">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r w:rsidRPr="00E30870">
        <w:rPr>
          <w:rFonts w:asciiTheme="majorBidi" w:hAnsiTheme="majorBidi" w:cstheme="majorBidi"/>
          <w:color w:val="000000" w:themeColor="text1"/>
          <w:sz w:val="24"/>
          <w:szCs w:val="24"/>
        </w:rPr>
        <w:t>.,</w:t>
      </w:r>
      <w:proofErr w:type="gramEnd"/>
      <w:r w:rsidRPr="00E30870">
        <w:rPr>
          <w:rFonts w:asciiTheme="majorBidi" w:hAnsiTheme="majorBidi" w:cstheme="majorBidi"/>
          <w:color w:val="000000" w:themeColor="text1"/>
          <w:sz w:val="24"/>
          <w:szCs w:val="24"/>
        </w:rPr>
        <w:t xml:space="preserve"> 2007). Le traitement des suspensions de cellules de tabac avec la surfactine seule, induit aussi des réactions immunitaires comme la phosphorylation, l’alcalinisation extracellulaire Ca</w:t>
      </w:r>
      <w:r w:rsidRPr="00E30870">
        <w:rPr>
          <w:rFonts w:asciiTheme="majorBidi" w:hAnsiTheme="majorBidi" w:cstheme="majorBidi"/>
          <w:color w:val="000000" w:themeColor="text1"/>
          <w:sz w:val="24"/>
          <w:szCs w:val="24"/>
          <w:vertAlign w:val="superscript"/>
        </w:rPr>
        <w:t>2+</w:t>
      </w:r>
      <w:r w:rsidRPr="00E30870">
        <w:rPr>
          <w:rFonts w:asciiTheme="majorBidi" w:hAnsiTheme="majorBidi" w:cstheme="majorBidi"/>
          <w:color w:val="000000" w:themeColor="text1"/>
          <w:sz w:val="24"/>
          <w:szCs w:val="24"/>
        </w:rPr>
        <w:t xml:space="preserve"> dépendante et le </w:t>
      </w:r>
      <w:proofErr w:type="spellStart"/>
      <w:r w:rsidRPr="00E30870">
        <w:rPr>
          <w:rFonts w:asciiTheme="majorBidi" w:hAnsiTheme="majorBidi" w:cstheme="majorBidi"/>
          <w:color w:val="000000" w:themeColor="text1"/>
          <w:sz w:val="24"/>
          <w:szCs w:val="24"/>
        </w:rPr>
        <w:t>burst</w:t>
      </w:r>
      <w:proofErr w:type="spellEnd"/>
      <w:r w:rsidRPr="00E30870">
        <w:rPr>
          <w:rFonts w:asciiTheme="majorBidi" w:hAnsiTheme="majorBidi" w:cstheme="majorBidi"/>
          <w:color w:val="000000" w:themeColor="text1"/>
          <w:sz w:val="24"/>
          <w:szCs w:val="24"/>
        </w:rPr>
        <w:t xml:space="preserve"> oxydative, sans provoquer la mort des cellules (Jourdan </w:t>
      </w:r>
      <w:r w:rsidRPr="00E30870">
        <w:rPr>
          <w:rFonts w:asciiTheme="majorBidi" w:hAnsiTheme="majorBidi" w:cstheme="majorBidi"/>
          <w:i/>
          <w:iCs/>
          <w:color w:val="000000" w:themeColor="text1"/>
          <w:sz w:val="24"/>
          <w:szCs w:val="24"/>
        </w:rPr>
        <w:t xml:space="preserve">et </w:t>
      </w:r>
      <w:proofErr w:type="gramStart"/>
      <w:r w:rsidRPr="00E30870">
        <w:rPr>
          <w:rFonts w:asciiTheme="majorBidi" w:hAnsiTheme="majorBidi" w:cstheme="majorBidi"/>
          <w:i/>
          <w:iCs/>
          <w:color w:val="000000" w:themeColor="text1"/>
          <w:sz w:val="24"/>
          <w:szCs w:val="24"/>
        </w:rPr>
        <w:t>al</w:t>
      </w:r>
      <w:r w:rsidRPr="00E30870">
        <w:rPr>
          <w:rFonts w:asciiTheme="majorBidi" w:hAnsiTheme="majorBidi" w:cstheme="majorBidi"/>
          <w:color w:val="000000" w:themeColor="text1"/>
          <w:sz w:val="24"/>
          <w:szCs w:val="24"/>
        </w:rPr>
        <w:t>.,</w:t>
      </w:r>
      <w:proofErr w:type="gramEnd"/>
      <w:r w:rsidRPr="00E30870">
        <w:rPr>
          <w:rFonts w:asciiTheme="majorBidi" w:hAnsiTheme="majorBidi" w:cstheme="majorBidi"/>
          <w:color w:val="000000" w:themeColor="text1"/>
          <w:sz w:val="24"/>
          <w:szCs w:val="24"/>
        </w:rPr>
        <w:t xml:space="preserve"> 2009).</w:t>
      </w:r>
    </w:p>
    <w:p w:rsidR="00534C26" w:rsidRPr="00E30870" w:rsidRDefault="00534C26" w:rsidP="00534C26">
      <w:pPr>
        <w:autoSpaceDE w:val="0"/>
        <w:autoSpaceDN w:val="0"/>
        <w:adjustRightInd w:val="0"/>
        <w:spacing w:after="0" w:line="360" w:lineRule="auto"/>
        <w:jc w:val="both"/>
        <w:rPr>
          <w:rFonts w:asciiTheme="majorBidi" w:hAnsiTheme="majorBidi" w:cstheme="majorBidi"/>
          <w:color w:val="000000" w:themeColor="text1"/>
        </w:rPr>
      </w:pPr>
    </w:p>
    <w:p w:rsidR="00534C26" w:rsidRPr="007443DF" w:rsidRDefault="00F83B7D" w:rsidP="00534C26">
      <w:pPr>
        <w:rPr>
          <w:rFonts w:asciiTheme="majorBidi" w:hAnsiTheme="majorBidi" w:cstheme="majorBidi"/>
          <w:color w:val="000000" w:themeColor="text1"/>
        </w:rPr>
      </w:pPr>
      <w:r>
        <w:rPr>
          <w:rFonts w:asciiTheme="majorBidi" w:hAnsiTheme="majorBidi" w:cstheme="majorBidi"/>
          <w:noProof/>
          <w:color w:val="000000" w:themeColor="text1"/>
          <w:lang w:eastAsia="fr-FR"/>
        </w:rPr>
        <w:pict>
          <v:shape id="_x0000_s1037" type="#_x0000_t202" style="position:absolute;margin-left:34.15pt;margin-top:371.5pt;width:404.25pt;height:78.35pt;z-index:251671552;mso-width-relative:margin;mso-height-relative:margin" stroked="f">
            <v:textbox>
              <w:txbxContent>
                <w:p w:rsidR="00534C26" w:rsidRDefault="00534C26" w:rsidP="00534C26">
                  <w:pPr>
                    <w:autoSpaceDE w:val="0"/>
                    <w:autoSpaceDN w:val="0"/>
                    <w:adjustRightInd w:val="0"/>
                    <w:spacing w:after="0" w:line="360" w:lineRule="auto"/>
                    <w:jc w:val="both"/>
                    <w:rPr>
                      <w:rFonts w:asciiTheme="majorBidi" w:hAnsiTheme="majorBidi" w:cstheme="majorBidi"/>
                    </w:rPr>
                  </w:pPr>
                  <w:r w:rsidRPr="00C115D7">
                    <w:rPr>
                      <w:rFonts w:asciiTheme="majorBidi" w:hAnsiTheme="majorBidi" w:cstheme="majorBidi"/>
                      <w:b/>
                      <w:bCs/>
                    </w:rPr>
                    <w:t>Figure</w:t>
                  </w:r>
                  <w:r>
                    <w:rPr>
                      <w:rFonts w:asciiTheme="majorBidi" w:hAnsiTheme="majorBidi" w:cstheme="majorBidi"/>
                      <w:b/>
                      <w:bCs/>
                    </w:rPr>
                    <w:t xml:space="preserve"> 12 </w:t>
                  </w:r>
                  <w:r w:rsidRPr="00C115D7">
                    <w:rPr>
                      <w:rFonts w:asciiTheme="majorBidi" w:hAnsiTheme="majorBidi" w:cstheme="majorBidi"/>
                    </w:rPr>
                    <w:t xml:space="preserve">Rôle des trios familles de lipopeptides dans (A): colonisation des </w:t>
                  </w:r>
                  <w:r w:rsidR="00406891">
                    <w:rPr>
                      <w:rFonts w:asciiTheme="majorBidi" w:hAnsiTheme="majorBidi" w:cstheme="majorBidi"/>
                    </w:rPr>
                    <w:t xml:space="preserve">racines et formation de </w:t>
                  </w:r>
                  <w:proofErr w:type="spellStart"/>
                  <w:r w:rsidR="00406891">
                    <w:rPr>
                      <w:rFonts w:asciiTheme="majorBidi" w:hAnsiTheme="majorBidi" w:cstheme="majorBidi"/>
                    </w:rPr>
                    <w:t>biofilm</w:t>
                  </w:r>
                  <w:r w:rsidRPr="00C115D7">
                    <w:rPr>
                      <w:rFonts w:asciiTheme="majorBidi" w:hAnsiTheme="majorBidi" w:cstheme="majorBidi"/>
                    </w:rPr>
                    <w:t>s</w:t>
                  </w:r>
                  <w:proofErr w:type="spellEnd"/>
                  <w:r w:rsidRPr="00C115D7">
                    <w:rPr>
                      <w:rFonts w:asciiTheme="majorBidi" w:hAnsiTheme="majorBidi" w:cstheme="majorBidi"/>
                    </w:rPr>
                    <w:t xml:space="preserve">; (B) Antibiose directe par inhibition de </w:t>
                  </w:r>
                  <w:r>
                    <w:rPr>
                      <w:rFonts w:asciiTheme="majorBidi" w:hAnsiTheme="majorBidi" w:cstheme="majorBidi"/>
                    </w:rPr>
                    <w:t>croissances des phytopathogènes</w:t>
                  </w:r>
                  <w:r w:rsidRPr="00C115D7">
                    <w:rPr>
                      <w:rFonts w:asciiTheme="majorBidi" w:hAnsiTheme="majorBidi" w:cstheme="majorBidi"/>
                    </w:rPr>
                    <w:t>; (C) Induction du système immunitaire de la plante (ISR).</w:t>
                  </w:r>
                  <w:r>
                    <w:rPr>
                      <w:rFonts w:asciiTheme="majorBidi" w:hAnsiTheme="majorBidi" w:cstheme="majorBidi"/>
                    </w:rPr>
                    <w:t xml:space="preserve"> Source: </w:t>
                  </w:r>
                  <w:proofErr w:type="spellStart"/>
                  <w:r>
                    <w:rPr>
                      <w:rFonts w:asciiTheme="majorBidi" w:hAnsiTheme="majorBidi" w:cstheme="majorBidi"/>
                    </w:rPr>
                    <w:t>Ongena</w:t>
                  </w:r>
                  <w:proofErr w:type="spellEnd"/>
                  <w:r>
                    <w:rPr>
                      <w:rFonts w:asciiTheme="majorBidi" w:hAnsiTheme="majorBidi" w:cstheme="majorBidi"/>
                    </w:rPr>
                    <w:t xml:space="preserve"> </w:t>
                  </w:r>
                  <w:r w:rsidRPr="00C0124E">
                    <w:rPr>
                      <w:rFonts w:asciiTheme="majorBidi" w:hAnsiTheme="majorBidi" w:cstheme="majorBidi"/>
                      <w:i/>
                      <w:iCs/>
                    </w:rPr>
                    <w:t xml:space="preserve">et </w:t>
                  </w:r>
                  <w:proofErr w:type="gramStart"/>
                  <w:r w:rsidRPr="00C0124E">
                    <w:rPr>
                      <w:rFonts w:asciiTheme="majorBidi" w:hAnsiTheme="majorBidi" w:cstheme="majorBidi"/>
                      <w:i/>
                      <w:iCs/>
                    </w:rPr>
                    <w:t>al.,</w:t>
                  </w:r>
                  <w:proofErr w:type="gramEnd"/>
                  <w:r>
                    <w:rPr>
                      <w:rFonts w:asciiTheme="majorBidi" w:hAnsiTheme="majorBidi" w:cstheme="majorBidi"/>
                    </w:rPr>
                    <w:t xml:space="preserve"> 2007.</w:t>
                  </w:r>
                </w:p>
                <w:p w:rsidR="00534C26" w:rsidRDefault="00534C26" w:rsidP="00534C26"/>
              </w:txbxContent>
            </v:textbox>
          </v:shape>
        </w:pict>
      </w:r>
      <w:r w:rsidR="00534C26" w:rsidRPr="00E30870">
        <w:rPr>
          <w:rFonts w:asciiTheme="majorBidi" w:hAnsiTheme="majorBidi" w:cstheme="majorBidi"/>
          <w:noProof/>
          <w:color w:val="000000" w:themeColor="text1"/>
          <w:lang w:eastAsia="fr-FR"/>
        </w:rPr>
        <w:drawing>
          <wp:inline distT="0" distB="0" distL="0" distR="0">
            <wp:extent cx="5447472" cy="4610388"/>
            <wp:effectExtent l="19050" t="0" r="828"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t="779" b="2783"/>
                    <a:stretch>
                      <a:fillRect/>
                    </a:stretch>
                  </pic:blipFill>
                  <pic:spPr bwMode="auto">
                    <a:xfrm>
                      <a:off x="0" y="0"/>
                      <a:ext cx="5448082" cy="4610904"/>
                    </a:xfrm>
                    <a:prstGeom prst="rect">
                      <a:avLst/>
                    </a:prstGeom>
                    <a:noFill/>
                    <a:ln w="9525">
                      <a:noFill/>
                      <a:miter lim="800000"/>
                      <a:headEnd/>
                      <a:tailEnd/>
                    </a:ln>
                  </pic:spPr>
                </pic:pic>
              </a:graphicData>
            </a:graphic>
          </wp:inline>
        </w:drawing>
      </w:r>
    </w:p>
    <w:p w:rsidR="00534C26" w:rsidRPr="007443DF" w:rsidRDefault="00534C26" w:rsidP="00534C26">
      <w:pPr>
        <w:rPr>
          <w:rFonts w:asciiTheme="majorBidi" w:hAnsiTheme="majorBidi" w:cstheme="majorBidi"/>
          <w:color w:val="000000" w:themeColor="text1"/>
        </w:rPr>
      </w:pPr>
    </w:p>
    <w:p w:rsidR="00534C26" w:rsidRPr="007443DF" w:rsidRDefault="00534C26" w:rsidP="00534C26">
      <w:pPr>
        <w:rPr>
          <w:rFonts w:asciiTheme="majorBidi" w:hAnsiTheme="majorBidi" w:cstheme="majorBidi"/>
          <w:color w:val="000000" w:themeColor="text1"/>
        </w:rPr>
      </w:pPr>
    </w:p>
    <w:p w:rsidR="00730A04" w:rsidRPr="007443DF" w:rsidRDefault="00730A04">
      <w:pPr>
        <w:rPr>
          <w:rFonts w:asciiTheme="majorBidi" w:hAnsiTheme="majorBidi" w:cstheme="majorBidi"/>
        </w:rPr>
      </w:pPr>
    </w:p>
    <w:sectPr w:rsidR="00730A04" w:rsidRPr="007443DF" w:rsidSect="000A40FB">
      <w:headerReference w:type="default" r:id="rId49"/>
      <w:footerReference w:type="default" r:id="rId50"/>
      <w:pgSz w:w="11906" w:h="16838"/>
      <w:pgMar w:top="1417" w:right="1417" w:bottom="1417" w:left="1417"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A82" w:rsidRDefault="00B85A82" w:rsidP="00212461">
      <w:pPr>
        <w:spacing w:after="0" w:line="240" w:lineRule="auto"/>
      </w:pPr>
      <w:r>
        <w:separator/>
      </w:r>
    </w:p>
  </w:endnote>
  <w:endnote w:type="continuationSeparator" w:id="1">
    <w:p w:rsidR="00B85A82" w:rsidRDefault="00B85A82" w:rsidP="002124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FuturaLT-Book">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4432"/>
      <w:docPartObj>
        <w:docPartGallery w:val="Page Numbers (Bottom of Page)"/>
        <w:docPartUnique/>
      </w:docPartObj>
    </w:sdtPr>
    <w:sdtContent>
      <w:p w:rsidR="000A40FB" w:rsidRDefault="00F83B7D">
        <w:pPr>
          <w:pStyle w:val="Pieddepage"/>
          <w:jc w:val="center"/>
        </w:pPr>
        <w:r>
          <w:fldChar w:fldCharType="begin"/>
        </w:r>
        <w:r w:rsidR="002A7E62">
          <w:instrText xml:space="preserve"> PAGE   \* MERGEFORMAT </w:instrText>
        </w:r>
        <w:r>
          <w:fldChar w:fldCharType="separate"/>
        </w:r>
        <w:r w:rsidR="006E7F6E">
          <w:rPr>
            <w:noProof/>
          </w:rPr>
          <w:t>3</w:t>
        </w:r>
        <w:r>
          <w:fldChar w:fldCharType="end"/>
        </w:r>
      </w:p>
    </w:sdtContent>
  </w:sdt>
  <w:p w:rsidR="00CE622B" w:rsidRDefault="0012393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A82" w:rsidRDefault="00B85A82" w:rsidP="00212461">
      <w:pPr>
        <w:spacing w:after="0" w:line="240" w:lineRule="auto"/>
      </w:pPr>
      <w:r>
        <w:separator/>
      </w:r>
    </w:p>
  </w:footnote>
  <w:footnote w:type="continuationSeparator" w:id="1">
    <w:p w:rsidR="00B85A82" w:rsidRDefault="00B85A82" w:rsidP="002124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78"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61"/>
    </w:tblGrid>
    <w:tr w:rsidR="00033D9B" w:rsidTr="00033D9B">
      <w:trPr>
        <w:trHeight w:val="384"/>
      </w:trPr>
      <w:sdt>
        <w:sdtPr>
          <w:rPr>
            <w:rFonts w:asciiTheme="majorHAnsi" w:eastAsiaTheme="majorEastAsia" w:hAnsiTheme="majorHAnsi" w:cstheme="majorBidi"/>
            <w:b/>
            <w:bCs/>
            <w:i/>
            <w:iCs/>
            <w:sz w:val="18"/>
            <w:szCs w:val="18"/>
          </w:rPr>
          <w:alias w:val="Titre"/>
          <w:id w:val="77761602"/>
          <w:placeholder>
            <w:docPart w:val="15E21E52C78E4EDD8B1CDAD17B9A0C36"/>
          </w:placeholder>
          <w:dataBinding w:prefixMappings="xmlns:ns0='http://schemas.openxmlformats.org/package/2006/metadata/core-properties' xmlns:ns1='http://purl.org/dc/elements/1.1/'" w:xpath="/ns0:coreProperties[1]/ns1:title[1]" w:storeItemID="{6C3C8BC8-F283-45AE-878A-BAB7291924A1}"/>
          <w:text/>
        </w:sdtPr>
        <w:sdtContent>
          <w:tc>
            <w:tcPr>
              <w:tcW w:w="9261" w:type="dxa"/>
            </w:tcPr>
            <w:p w:rsidR="00033D9B" w:rsidRPr="00EF15F1" w:rsidRDefault="00212461" w:rsidP="00212461">
              <w:pPr>
                <w:pStyle w:val="En-tte"/>
                <w:jc w:val="right"/>
                <w:rPr>
                  <w:rFonts w:asciiTheme="majorHAnsi" w:eastAsiaTheme="majorEastAsia" w:hAnsiTheme="majorHAnsi" w:cstheme="majorBidi"/>
                  <w:b/>
                  <w:bCs/>
                  <w:i/>
                  <w:iCs/>
                  <w:sz w:val="18"/>
                  <w:szCs w:val="18"/>
                </w:rPr>
              </w:pPr>
              <w:r>
                <w:rPr>
                  <w:rFonts w:asciiTheme="majorHAnsi" w:eastAsiaTheme="majorEastAsia" w:hAnsiTheme="majorHAnsi" w:cstheme="majorBidi"/>
                  <w:b/>
                  <w:bCs/>
                  <w:i/>
                  <w:iCs/>
                  <w:sz w:val="18"/>
                  <w:szCs w:val="18"/>
                </w:rPr>
                <w:t>REVUE BIBLIOGRAPHIQUE</w:t>
              </w:r>
            </w:p>
          </w:tc>
        </w:sdtContent>
      </w:sdt>
    </w:tr>
  </w:tbl>
  <w:p w:rsidR="00CE622B" w:rsidRDefault="0012393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C422E"/>
    <w:multiLevelType w:val="hybridMultilevel"/>
    <w:tmpl w:val="9796FCDE"/>
    <w:lvl w:ilvl="0" w:tplc="5F769640">
      <w:numFmt w:val="bullet"/>
      <w:lvlText w:val="-"/>
      <w:lvlJc w:val="left"/>
      <w:pPr>
        <w:ind w:left="405" w:hanging="360"/>
      </w:pPr>
      <w:rPr>
        <w:rFonts w:ascii="Calibri" w:eastAsiaTheme="minorHAnsi" w:hAnsi="Calibri" w:cs="FuturaLT-Book"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
    <w:nsid w:val="10B7016A"/>
    <w:multiLevelType w:val="multilevel"/>
    <w:tmpl w:val="5060F00A"/>
    <w:lvl w:ilvl="0">
      <w:start w:val="2"/>
      <w:numFmt w:val="decimal"/>
      <w:lvlText w:val="%1."/>
      <w:lvlJc w:val="left"/>
      <w:pPr>
        <w:ind w:left="375" w:hanging="375"/>
      </w:pPr>
      <w:rPr>
        <w:rFonts w:hint="default"/>
      </w:rPr>
    </w:lvl>
    <w:lvl w:ilvl="1">
      <w:start w:val="1"/>
      <w:numFmt w:val="decimal"/>
      <w:lvlText w:val="%1.%2-"/>
      <w:lvlJc w:val="left"/>
      <w:pPr>
        <w:ind w:left="720" w:hanging="720"/>
      </w:pPr>
      <w:rPr>
        <w:rFonts w:asciiTheme="majorBidi" w:hAnsiTheme="majorBidi" w:cstheme="majorBidi" w:hint="default"/>
        <w:b/>
        <w:bCs/>
        <w:i w:val="0"/>
        <w:iCs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7906A55"/>
    <w:multiLevelType w:val="multilevel"/>
    <w:tmpl w:val="11265998"/>
    <w:lvl w:ilvl="0">
      <w:start w:val="2"/>
      <w:numFmt w:val="decimal"/>
      <w:lvlText w:val="%1."/>
      <w:lvlJc w:val="left"/>
      <w:pPr>
        <w:ind w:left="555" w:hanging="555"/>
      </w:pPr>
      <w:rPr>
        <w:rFonts w:hint="default"/>
        <w:b w:val="0"/>
        <w:sz w:val="22"/>
      </w:rPr>
    </w:lvl>
    <w:lvl w:ilvl="1">
      <w:start w:val="3"/>
      <w:numFmt w:val="decimal"/>
      <w:lvlText w:val="%1.%2."/>
      <w:lvlJc w:val="left"/>
      <w:pPr>
        <w:ind w:left="555" w:hanging="555"/>
      </w:pPr>
      <w:rPr>
        <w:rFonts w:hint="default"/>
        <w:b w:val="0"/>
        <w:sz w:val="22"/>
      </w:rPr>
    </w:lvl>
    <w:lvl w:ilvl="2">
      <w:start w:val="2"/>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
    <w:nsid w:val="33200B65"/>
    <w:multiLevelType w:val="hybridMultilevel"/>
    <w:tmpl w:val="8A30F3E0"/>
    <w:lvl w:ilvl="0" w:tplc="73E482C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FD3117"/>
    <w:multiLevelType w:val="hybridMultilevel"/>
    <w:tmpl w:val="6BD894F4"/>
    <w:lvl w:ilvl="0" w:tplc="8994867A">
      <w:numFmt w:val="bullet"/>
      <w:lvlText w:val="-"/>
      <w:lvlJc w:val="left"/>
      <w:pPr>
        <w:ind w:left="720" w:hanging="360"/>
      </w:pPr>
      <w:rPr>
        <w:rFonts w:ascii="Calibri" w:eastAsiaTheme="minorHAnsi" w:hAnsi="Calibri"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377339"/>
    <w:multiLevelType w:val="multilevel"/>
    <w:tmpl w:val="41C48D66"/>
    <w:lvl w:ilvl="0">
      <w:start w:val="2"/>
      <w:numFmt w:val="decimal"/>
      <w:lvlText w:val="%1."/>
      <w:lvlJc w:val="left"/>
      <w:pPr>
        <w:ind w:left="555" w:hanging="555"/>
      </w:pPr>
      <w:rPr>
        <w:rFonts w:hint="default"/>
      </w:rPr>
    </w:lvl>
    <w:lvl w:ilvl="1">
      <w:start w:val="7"/>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45F04F09"/>
    <w:multiLevelType w:val="hybridMultilevel"/>
    <w:tmpl w:val="30C8F8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CD50C9"/>
    <w:multiLevelType w:val="multilevel"/>
    <w:tmpl w:val="D870EE58"/>
    <w:lvl w:ilvl="0">
      <w:start w:val="2"/>
      <w:numFmt w:val="decimal"/>
      <w:lvlText w:val="%1."/>
      <w:lvlJc w:val="left"/>
      <w:pPr>
        <w:ind w:left="555" w:hanging="555"/>
      </w:pPr>
      <w:rPr>
        <w:rFonts w:hint="default"/>
      </w:rPr>
    </w:lvl>
    <w:lvl w:ilvl="1">
      <w:start w:val="8"/>
      <w:numFmt w:val="decimal"/>
      <w:lvlText w:val="%1.%2."/>
      <w:lvlJc w:val="left"/>
      <w:pPr>
        <w:ind w:left="555" w:hanging="555"/>
      </w:pPr>
      <w:rPr>
        <w:rFonts w:hint="default"/>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A1E21C0"/>
    <w:multiLevelType w:val="multilevel"/>
    <w:tmpl w:val="9CF01DDC"/>
    <w:lvl w:ilvl="0">
      <w:start w:val="2"/>
      <w:numFmt w:val="decimal"/>
      <w:lvlText w:val="%1."/>
      <w:lvlJc w:val="left"/>
      <w:pPr>
        <w:ind w:left="555" w:hanging="555"/>
      </w:pPr>
      <w:rPr>
        <w:rFonts w:hint="default"/>
        <w:i/>
      </w:rPr>
    </w:lvl>
    <w:lvl w:ilvl="1">
      <w:start w:val="5"/>
      <w:numFmt w:val="decimal"/>
      <w:lvlText w:val="%1.%2."/>
      <w:lvlJc w:val="left"/>
      <w:pPr>
        <w:ind w:left="555" w:hanging="555"/>
      </w:pPr>
      <w:rPr>
        <w:rFonts w:hint="default"/>
        <w:i w:val="0"/>
        <w:iCs/>
      </w:rPr>
    </w:lvl>
    <w:lvl w:ilvl="2">
      <w:start w:val="1"/>
      <w:numFmt w:val="decimal"/>
      <w:lvlText w:val="%1.%2.%3-"/>
      <w:lvlJc w:val="left"/>
      <w:pPr>
        <w:ind w:left="720" w:hanging="720"/>
      </w:pPr>
      <w:rPr>
        <w:rFonts w:hint="default"/>
        <w:i w:val="0"/>
        <w:iCs/>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9">
    <w:nsid w:val="536A54CB"/>
    <w:multiLevelType w:val="multilevel"/>
    <w:tmpl w:val="71E6F9A6"/>
    <w:lvl w:ilvl="0">
      <w:start w:val="2"/>
      <w:numFmt w:val="decimal"/>
      <w:lvlText w:val="%1."/>
      <w:lvlJc w:val="left"/>
      <w:pPr>
        <w:ind w:left="555" w:hanging="555"/>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0">
    <w:nsid w:val="66BA3640"/>
    <w:multiLevelType w:val="multilevel"/>
    <w:tmpl w:val="F98030CE"/>
    <w:lvl w:ilvl="0">
      <w:start w:val="2"/>
      <w:numFmt w:val="decimal"/>
      <w:lvlText w:val="%1."/>
      <w:lvlJc w:val="left"/>
      <w:pPr>
        <w:ind w:left="555" w:hanging="555"/>
      </w:pPr>
      <w:rPr>
        <w:rFonts w:hint="default"/>
      </w:rPr>
    </w:lvl>
    <w:lvl w:ilvl="1">
      <w:start w:val="8"/>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6ED3648E"/>
    <w:multiLevelType w:val="multilevel"/>
    <w:tmpl w:val="CB62EA1A"/>
    <w:lvl w:ilvl="0">
      <w:start w:val="2"/>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F02624C"/>
    <w:multiLevelType w:val="multilevel"/>
    <w:tmpl w:val="8A9AAF8A"/>
    <w:lvl w:ilvl="0">
      <w:start w:val="2"/>
      <w:numFmt w:val="decimal"/>
      <w:lvlText w:val="%1."/>
      <w:lvlJc w:val="left"/>
      <w:pPr>
        <w:ind w:left="690" w:hanging="690"/>
      </w:pPr>
      <w:rPr>
        <w:rFonts w:hint="default"/>
        <w:sz w:val="28"/>
      </w:rPr>
    </w:lvl>
    <w:lvl w:ilvl="1">
      <w:start w:val="7"/>
      <w:numFmt w:val="decimal"/>
      <w:lvlText w:val="%1.%2."/>
      <w:lvlJc w:val="left"/>
      <w:pPr>
        <w:ind w:left="690" w:hanging="69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num w:numId="1">
    <w:abstractNumId w:val="0"/>
  </w:num>
  <w:num w:numId="2">
    <w:abstractNumId w:val="4"/>
  </w:num>
  <w:num w:numId="3">
    <w:abstractNumId w:val="3"/>
  </w:num>
  <w:num w:numId="4">
    <w:abstractNumId w:val="1"/>
  </w:num>
  <w:num w:numId="5">
    <w:abstractNumId w:val="9"/>
  </w:num>
  <w:num w:numId="6">
    <w:abstractNumId w:val="11"/>
  </w:num>
  <w:num w:numId="7">
    <w:abstractNumId w:val="8"/>
  </w:num>
  <w:num w:numId="8">
    <w:abstractNumId w:val="6"/>
  </w:num>
  <w:num w:numId="9">
    <w:abstractNumId w:val="5"/>
  </w:num>
  <w:num w:numId="10">
    <w:abstractNumId w:val="7"/>
  </w:num>
  <w:num w:numId="11">
    <w:abstractNumId w:val="10"/>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534C26"/>
    <w:rsid w:val="00001558"/>
    <w:rsid w:val="000064C0"/>
    <w:rsid w:val="00011C2A"/>
    <w:rsid w:val="00057BC1"/>
    <w:rsid w:val="00063976"/>
    <w:rsid w:val="000643D7"/>
    <w:rsid w:val="00080BA9"/>
    <w:rsid w:val="00085620"/>
    <w:rsid w:val="000D0A50"/>
    <w:rsid w:val="000D0CBB"/>
    <w:rsid w:val="000F6951"/>
    <w:rsid w:val="00131D93"/>
    <w:rsid w:val="00132260"/>
    <w:rsid w:val="00134575"/>
    <w:rsid w:val="00141077"/>
    <w:rsid w:val="00151D82"/>
    <w:rsid w:val="00173133"/>
    <w:rsid w:val="001A35E4"/>
    <w:rsid w:val="001B1933"/>
    <w:rsid w:val="00212461"/>
    <w:rsid w:val="00226AA0"/>
    <w:rsid w:val="00230F74"/>
    <w:rsid w:val="00243C84"/>
    <w:rsid w:val="00250BE2"/>
    <w:rsid w:val="002749C4"/>
    <w:rsid w:val="002A7E62"/>
    <w:rsid w:val="002D490C"/>
    <w:rsid w:val="002E192C"/>
    <w:rsid w:val="00300D00"/>
    <w:rsid w:val="0036376D"/>
    <w:rsid w:val="00384A25"/>
    <w:rsid w:val="003C59C0"/>
    <w:rsid w:val="003D5CD9"/>
    <w:rsid w:val="00404FD6"/>
    <w:rsid w:val="00406891"/>
    <w:rsid w:val="00461AA1"/>
    <w:rsid w:val="00496732"/>
    <w:rsid w:val="004B12F0"/>
    <w:rsid w:val="004B69EE"/>
    <w:rsid w:val="004D7346"/>
    <w:rsid w:val="00513219"/>
    <w:rsid w:val="00526F69"/>
    <w:rsid w:val="00527C1C"/>
    <w:rsid w:val="00534C26"/>
    <w:rsid w:val="005367D7"/>
    <w:rsid w:val="00561BA5"/>
    <w:rsid w:val="005775DB"/>
    <w:rsid w:val="00577D8B"/>
    <w:rsid w:val="00581BBC"/>
    <w:rsid w:val="005D0DCA"/>
    <w:rsid w:val="005E33BD"/>
    <w:rsid w:val="005F1EBD"/>
    <w:rsid w:val="0060254A"/>
    <w:rsid w:val="00623581"/>
    <w:rsid w:val="00642B3B"/>
    <w:rsid w:val="00646DCF"/>
    <w:rsid w:val="00657572"/>
    <w:rsid w:val="0068643F"/>
    <w:rsid w:val="006C3A39"/>
    <w:rsid w:val="006D0D8A"/>
    <w:rsid w:val="006E7F6E"/>
    <w:rsid w:val="006F1265"/>
    <w:rsid w:val="006F1E17"/>
    <w:rsid w:val="006F2CA5"/>
    <w:rsid w:val="007025E9"/>
    <w:rsid w:val="007165A5"/>
    <w:rsid w:val="00730A04"/>
    <w:rsid w:val="007443DF"/>
    <w:rsid w:val="007751B9"/>
    <w:rsid w:val="007A4385"/>
    <w:rsid w:val="007C211E"/>
    <w:rsid w:val="007D6E0B"/>
    <w:rsid w:val="00804EDE"/>
    <w:rsid w:val="00825ADE"/>
    <w:rsid w:val="008421E5"/>
    <w:rsid w:val="0084351E"/>
    <w:rsid w:val="00850C6B"/>
    <w:rsid w:val="00860637"/>
    <w:rsid w:val="00874822"/>
    <w:rsid w:val="008775F7"/>
    <w:rsid w:val="008865D7"/>
    <w:rsid w:val="0090756B"/>
    <w:rsid w:val="0093515F"/>
    <w:rsid w:val="00935338"/>
    <w:rsid w:val="0095010D"/>
    <w:rsid w:val="0095222A"/>
    <w:rsid w:val="00971BCE"/>
    <w:rsid w:val="0098087C"/>
    <w:rsid w:val="009C5367"/>
    <w:rsid w:val="009E0BEB"/>
    <w:rsid w:val="009F38CD"/>
    <w:rsid w:val="009F6B57"/>
    <w:rsid w:val="00A13C64"/>
    <w:rsid w:val="00A21369"/>
    <w:rsid w:val="00A50493"/>
    <w:rsid w:val="00A5225C"/>
    <w:rsid w:val="00A77CA8"/>
    <w:rsid w:val="00A83D0C"/>
    <w:rsid w:val="00AA183C"/>
    <w:rsid w:val="00AB2851"/>
    <w:rsid w:val="00AB2E70"/>
    <w:rsid w:val="00AB7DAB"/>
    <w:rsid w:val="00AC3DFF"/>
    <w:rsid w:val="00AC61D4"/>
    <w:rsid w:val="00B0070C"/>
    <w:rsid w:val="00B269CE"/>
    <w:rsid w:val="00B37FA2"/>
    <w:rsid w:val="00B41F4E"/>
    <w:rsid w:val="00B56277"/>
    <w:rsid w:val="00B570A4"/>
    <w:rsid w:val="00B76512"/>
    <w:rsid w:val="00B828C8"/>
    <w:rsid w:val="00B85A82"/>
    <w:rsid w:val="00BA39BD"/>
    <w:rsid w:val="00BB5847"/>
    <w:rsid w:val="00BD55F2"/>
    <w:rsid w:val="00BD7C01"/>
    <w:rsid w:val="00BE7077"/>
    <w:rsid w:val="00BF4537"/>
    <w:rsid w:val="00BF7551"/>
    <w:rsid w:val="00C0083C"/>
    <w:rsid w:val="00C20C2E"/>
    <w:rsid w:val="00C76691"/>
    <w:rsid w:val="00C90429"/>
    <w:rsid w:val="00CC35C6"/>
    <w:rsid w:val="00CD5172"/>
    <w:rsid w:val="00D26EAB"/>
    <w:rsid w:val="00D31BAD"/>
    <w:rsid w:val="00D5263A"/>
    <w:rsid w:val="00D56C9F"/>
    <w:rsid w:val="00D6379F"/>
    <w:rsid w:val="00D6690D"/>
    <w:rsid w:val="00DA6EF2"/>
    <w:rsid w:val="00DB1047"/>
    <w:rsid w:val="00DC3020"/>
    <w:rsid w:val="00DD7A3C"/>
    <w:rsid w:val="00DF1391"/>
    <w:rsid w:val="00E30870"/>
    <w:rsid w:val="00E627F5"/>
    <w:rsid w:val="00E7169A"/>
    <w:rsid w:val="00E76830"/>
    <w:rsid w:val="00E81341"/>
    <w:rsid w:val="00E96A1A"/>
    <w:rsid w:val="00ED1FE8"/>
    <w:rsid w:val="00EF7E44"/>
    <w:rsid w:val="00F13144"/>
    <w:rsid w:val="00F21F27"/>
    <w:rsid w:val="00F23110"/>
    <w:rsid w:val="00F44959"/>
    <w:rsid w:val="00F52C9A"/>
    <w:rsid w:val="00F72A79"/>
    <w:rsid w:val="00F83B7D"/>
    <w:rsid w:val="00F85295"/>
    <w:rsid w:val="00F94F3B"/>
    <w:rsid w:val="00FE3AD0"/>
    <w:rsid w:val="00FE5DD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C2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34C26"/>
    <w:rPr>
      <w:color w:val="0000FF" w:themeColor="hyperlink"/>
      <w:u w:val="single"/>
    </w:rPr>
  </w:style>
  <w:style w:type="paragraph" w:styleId="Paragraphedeliste">
    <w:name w:val="List Paragraph"/>
    <w:basedOn w:val="Normal"/>
    <w:uiPriority w:val="34"/>
    <w:qFormat/>
    <w:rsid w:val="00534C26"/>
    <w:pPr>
      <w:ind w:left="720"/>
      <w:contextualSpacing/>
    </w:pPr>
  </w:style>
  <w:style w:type="character" w:styleId="CitationHTML">
    <w:name w:val="HTML Cite"/>
    <w:basedOn w:val="Policepardfaut"/>
    <w:uiPriority w:val="99"/>
    <w:semiHidden/>
    <w:unhideWhenUsed/>
    <w:rsid w:val="00534C26"/>
    <w:rPr>
      <w:i/>
      <w:iCs/>
    </w:rPr>
  </w:style>
  <w:style w:type="paragraph" w:customStyle="1" w:styleId="Default">
    <w:name w:val="Default"/>
    <w:rsid w:val="00534C2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Policepardfaut"/>
    <w:rsid w:val="00534C26"/>
  </w:style>
  <w:style w:type="paragraph" w:styleId="Textedebulles">
    <w:name w:val="Balloon Text"/>
    <w:basedOn w:val="Normal"/>
    <w:link w:val="TextedebullesCar"/>
    <w:uiPriority w:val="99"/>
    <w:semiHidden/>
    <w:unhideWhenUsed/>
    <w:rsid w:val="00534C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4C26"/>
    <w:rPr>
      <w:rFonts w:ascii="Tahoma" w:hAnsi="Tahoma" w:cs="Tahoma"/>
      <w:sz w:val="16"/>
      <w:szCs w:val="16"/>
    </w:rPr>
  </w:style>
  <w:style w:type="paragraph" w:styleId="En-tte">
    <w:name w:val="header"/>
    <w:basedOn w:val="Normal"/>
    <w:link w:val="En-tteCar"/>
    <w:uiPriority w:val="99"/>
    <w:unhideWhenUsed/>
    <w:rsid w:val="00534C26"/>
    <w:pPr>
      <w:tabs>
        <w:tab w:val="center" w:pos="4536"/>
        <w:tab w:val="right" w:pos="9072"/>
      </w:tabs>
      <w:spacing w:after="0" w:line="240" w:lineRule="auto"/>
    </w:pPr>
  </w:style>
  <w:style w:type="character" w:customStyle="1" w:styleId="En-tteCar">
    <w:name w:val="En-tête Car"/>
    <w:basedOn w:val="Policepardfaut"/>
    <w:link w:val="En-tte"/>
    <w:uiPriority w:val="99"/>
    <w:rsid w:val="00534C26"/>
  </w:style>
  <w:style w:type="paragraph" w:styleId="Pieddepage">
    <w:name w:val="footer"/>
    <w:basedOn w:val="Normal"/>
    <w:link w:val="PieddepageCar"/>
    <w:uiPriority w:val="99"/>
    <w:unhideWhenUsed/>
    <w:rsid w:val="00534C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4C26"/>
  </w:style>
  <w:style w:type="table" w:styleId="Grilledutableau">
    <w:name w:val="Table Grid"/>
    <w:basedOn w:val="TableauNormal"/>
    <w:uiPriority w:val="59"/>
    <w:rsid w:val="00534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ording10">
    <w:name w:val="wording10"/>
    <w:basedOn w:val="Policepardfaut"/>
    <w:rsid w:val="00534C26"/>
  </w:style>
  <w:style w:type="character" w:customStyle="1" w:styleId="st">
    <w:name w:val="st"/>
    <w:basedOn w:val="Policepardfaut"/>
    <w:rsid w:val="00534C26"/>
  </w:style>
  <w:style w:type="character" w:customStyle="1" w:styleId="authorname">
    <w:name w:val="authorname"/>
    <w:basedOn w:val="Policepardfaut"/>
    <w:rsid w:val="00534C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drgf.org/29pesticides.html" TargetMode="External"/><Relationship Id="rId18" Type="http://schemas.openxmlformats.org/officeDocument/2006/relationships/hyperlink" Target="http://www.un.org/events/wssd/" TargetMode="External"/><Relationship Id="rId26" Type="http://schemas.openxmlformats.org/officeDocument/2006/relationships/image" Target="media/image7.png"/><Relationship Id="rId39" Type="http://schemas.openxmlformats.org/officeDocument/2006/relationships/hyperlink" Target="http://eur-lex.europa.eu/LexUriServ/LexUriServ.do?uri=OJ:L:2007:189:0001:0023:FR:PDF" TargetMode="External"/><Relationship Id="rId3" Type="http://schemas.openxmlformats.org/officeDocument/2006/relationships/settings" Target="settings.xml"/><Relationship Id="rId21" Type="http://schemas.openxmlformats.org/officeDocument/2006/relationships/hyperlink" Target="http://dictionnaire.sensagent.com/dess&#232;chement/fr-fr/" TargetMode="Externa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mdrgf.org/27pesticides.html" TargetMode="External"/><Relationship Id="rId17" Type="http://schemas.openxmlformats.org/officeDocument/2006/relationships/hyperlink" Target="http://www.unep.org/Documents.Multilingual/Default.asp?DocumentID=78&amp;ArticleID=1163"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www.fao.org/WAICENT/FAOINFO/AGRICULT/AGP/AGPP/Pesticid/Code/Download/code.pdf" TargetMode="Externa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hyperlink" Target="http://eur-lex.europa.eu/LexUriServ/LexUriServ.do?uri=OJ:L:2008:334:0025:0052:F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drgf.org/28pesticides.html"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eur-lex.europa.eu/LexUriServ/LexUriServ.do?uri=OJ:L:2008:250:0001:0084:FR:PDF" TargetMode="Externa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ctu-environnement.com/ae/news/ministere-agriculture-cruiser-osr-etude-inra-acta-cruiser-thiamethoxam-abeilles-15340.php4"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1.xml"/><Relationship Id="rId10" Type="http://schemas.openxmlformats.org/officeDocument/2006/relationships/hyperlink" Target="http://www.mdrgf.org/211pesticides.html" TargetMode="Externa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www.mdrgf.org/210pesticides.html" TargetMode="External"/><Relationship Id="rId14" Type="http://schemas.openxmlformats.org/officeDocument/2006/relationships/hyperlink" Target="http://www.actu-environnement.com/ae/news/efsa-neonicotinoides-abeilles-cruiser-produits-phytosanitaires-17550.php4" TargetMode="External"/><Relationship Id="rId22" Type="http://schemas.openxmlformats.org/officeDocument/2006/relationships/hyperlink" Target="http://dictionnaire.sensagent.com/vieillissement/fr-fr/"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yperlink" Target="http://fr.wikipedia.org/wiki/Exode_rural" TargetMode="Externa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5E21E52C78E4EDD8B1CDAD17B9A0C36"/>
        <w:category>
          <w:name w:val="Général"/>
          <w:gallery w:val="placeholder"/>
        </w:category>
        <w:types>
          <w:type w:val="bbPlcHdr"/>
        </w:types>
        <w:behaviors>
          <w:behavior w:val="content"/>
        </w:behaviors>
        <w:guid w:val="{01A087F6-8012-43AE-93D2-B304B32F067A}"/>
      </w:docPartPr>
      <w:docPartBody>
        <w:p w:rsidR="00770229" w:rsidRDefault="0066344B" w:rsidP="0066344B">
          <w:pPr>
            <w:pStyle w:val="15E21E52C78E4EDD8B1CDAD17B9A0C36"/>
          </w:pPr>
          <w:r>
            <w:rPr>
              <w:rFonts w:asciiTheme="majorHAnsi" w:eastAsiaTheme="majorEastAsia" w:hAnsiTheme="majorHAnsi" w:cstheme="majorBidi"/>
              <w:sz w:val="36"/>
              <w:szCs w:val="36"/>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FuturaLT-Book">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insDel="0" w:formatting="0" w:inkAnnotations="0"/>
  <w:defaultTabStop w:val="708"/>
  <w:hyphenationZone w:val="425"/>
  <w:characterSpacingControl w:val="doNotCompress"/>
  <w:compat>
    <w:useFELayout/>
  </w:compat>
  <w:rsids>
    <w:rsidRoot w:val="0066344B"/>
    <w:rsid w:val="003B05FF"/>
    <w:rsid w:val="004E06C9"/>
    <w:rsid w:val="0066344B"/>
    <w:rsid w:val="00770229"/>
    <w:rsid w:val="007D34E7"/>
    <w:rsid w:val="0091076D"/>
    <w:rsid w:val="00AD5DC8"/>
    <w:rsid w:val="00F8758B"/>
    <w:rsid w:val="00FD0BF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22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5E21E52C78E4EDD8B1CDAD17B9A0C36">
    <w:name w:val="15E21E52C78E4EDD8B1CDAD17B9A0C36"/>
    <w:rsid w:val="0066344B"/>
  </w:style>
  <w:style w:type="paragraph" w:customStyle="1" w:styleId="EBC42EAC3DC145A08E163E50F2AB6DFD">
    <w:name w:val="EBC42EAC3DC145A08E163E50F2AB6DFD"/>
    <w:rsid w:val="00F8758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31</Pages>
  <Words>8593</Words>
  <Characters>47262</Characters>
  <Application>Microsoft Office Word</Application>
  <DocSecurity>0</DocSecurity>
  <Lines>393</Lines>
  <Paragraphs>111</Paragraphs>
  <ScaleCrop>false</ScaleCrop>
  <HeadingPairs>
    <vt:vector size="2" baseType="variant">
      <vt:variant>
        <vt:lpstr>Titre</vt:lpstr>
      </vt:variant>
      <vt:variant>
        <vt:i4>1</vt:i4>
      </vt:variant>
    </vt:vector>
  </HeadingPairs>
  <TitlesOfParts>
    <vt:vector size="1" baseType="lpstr">
      <vt:lpstr>REVUE BIBLIOGRAPHIQUE</vt:lpstr>
    </vt:vector>
  </TitlesOfParts>
  <Company/>
  <LinksUpToDate>false</LinksUpToDate>
  <CharactersWithSpaces>55744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BIBLIOGRAPHIQUE</dc:title>
  <dc:creator>Asma</dc:creator>
  <cp:lastModifiedBy>pc</cp:lastModifiedBy>
  <cp:revision>898</cp:revision>
  <dcterms:created xsi:type="dcterms:W3CDTF">2014-03-15T11:36:00Z</dcterms:created>
  <dcterms:modified xsi:type="dcterms:W3CDTF">2014-04-03T11:31:00Z</dcterms:modified>
</cp:coreProperties>
</file>